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76036A" w:rsidRDefault="00907451" w:rsidP="00DE7A21">
      <w:pPr>
        <w:spacing w:before="240" w:after="240" w:line="360" w:lineRule="auto"/>
        <w:jc w:val="both"/>
        <w:rPr>
          <w:rFonts w:ascii="Palatino Linotype" w:hAnsi="Palatino Linotype"/>
          <w:b/>
          <w:sz w:val="24"/>
          <w:szCs w:val="24"/>
        </w:rPr>
      </w:pPr>
      <w:r w:rsidRPr="00DE7A21">
        <w:rPr>
          <w:rFonts w:ascii="Palatino Linotype" w:hAnsi="Palatino Linotype"/>
          <w:b/>
          <w:sz w:val="24"/>
          <w:szCs w:val="24"/>
        </w:rPr>
        <w:t>VOTO</w:t>
      </w:r>
      <w:r w:rsidR="000607BA" w:rsidRPr="00DE7A21">
        <w:rPr>
          <w:rFonts w:ascii="Palatino Linotype" w:hAnsi="Palatino Linotype"/>
          <w:b/>
          <w:sz w:val="24"/>
          <w:szCs w:val="24"/>
        </w:rPr>
        <w:t xml:space="preserve"> PARTICULAR QUE FORMULA </w:t>
      </w:r>
      <w:r w:rsidR="003F066F" w:rsidRPr="00DE7A21">
        <w:rPr>
          <w:rFonts w:ascii="Palatino Linotype" w:hAnsi="Palatino Linotype"/>
          <w:b/>
          <w:sz w:val="24"/>
          <w:szCs w:val="24"/>
        </w:rPr>
        <w:t>EL C</w:t>
      </w:r>
      <w:r w:rsidR="00B438A9" w:rsidRPr="00DE7A21">
        <w:rPr>
          <w:rFonts w:ascii="Palatino Linotype" w:hAnsi="Palatino Linotype"/>
          <w:b/>
          <w:sz w:val="24"/>
          <w:szCs w:val="24"/>
        </w:rPr>
        <w:t>OMISIONADO JAVIER MARTÍNEZ CRUZ</w:t>
      </w:r>
      <w:r w:rsidR="000607BA" w:rsidRPr="00DE7A21">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4E3A75">
        <w:rPr>
          <w:rFonts w:ascii="Palatino Linotype" w:hAnsi="Palatino Linotype"/>
          <w:b/>
          <w:sz w:val="24"/>
          <w:szCs w:val="24"/>
        </w:rPr>
        <w:t>CUADRAGÉSIMA</w:t>
      </w:r>
      <w:r w:rsidR="004E3A75" w:rsidRPr="00DE7A21">
        <w:rPr>
          <w:rFonts w:ascii="Palatino Linotype" w:hAnsi="Palatino Linotype"/>
          <w:b/>
          <w:sz w:val="24"/>
          <w:szCs w:val="24"/>
        </w:rPr>
        <w:t xml:space="preserve"> </w:t>
      </w:r>
      <w:r w:rsidR="004E3A75">
        <w:rPr>
          <w:rFonts w:ascii="Palatino Linotype" w:hAnsi="Palatino Linotype"/>
          <w:b/>
          <w:sz w:val="24"/>
          <w:szCs w:val="24"/>
        </w:rPr>
        <w:t>SEXTA</w:t>
      </w:r>
      <w:r w:rsidR="00C33457">
        <w:rPr>
          <w:rFonts w:ascii="Palatino Linotype" w:hAnsi="Palatino Linotype"/>
          <w:b/>
          <w:sz w:val="24"/>
          <w:szCs w:val="24"/>
        </w:rPr>
        <w:t xml:space="preserve"> SE</w:t>
      </w:r>
      <w:r w:rsidR="001E420C" w:rsidRPr="00DE7A21">
        <w:rPr>
          <w:rFonts w:ascii="Palatino Linotype" w:hAnsi="Palatino Linotype"/>
          <w:b/>
          <w:sz w:val="24"/>
          <w:szCs w:val="24"/>
        </w:rPr>
        <w:t>SIÓN ORDINARIA</w:t>
      </w:r>
      <w:r w:rsidR="000607BA" w:rsidRPr="00DE7A21">
        <w:rPr>
          <w:rFonts w:ascii="Palatino Linotype" w:hAnsi="Palatino Linotype"/>
          <w:b/>
          <w:sz w:val="24"/>
          <w:szCs w:val="24"/>
        </w:rPr>
        <w:t xml:space="preserve"> DEL </w:t>
      </w:r>
      <w:r w:rsidR="004E3A75">
        <w:rPr>
          <w:rFonts w:ascii="Palatino Linotype" w:hAnsi="Palatino Linotype"/>
          <w:b/>
          <w:sz w:val="24"/>
          <w:szCs w:val="24"/>
        </w:rPr>
        <w:t xml:space="preserve">DOCE DE DICIEMBRE </w:t>
      </w:r>
      <w:r w:rsidR="004E3A75" w:rsidRPr="00DE7A21">
        <w:rPr>
          <w:rFonts w:ascii="Palatino Linotype" w:hAnsi="Palatino Linotype"/>
          <w:b/>
          <w:sz w:val="24"/>
          <w:szCs w:val="24"/>
        </w:rPr>
        <w:t>DE DOS MIL DIECI</w:t>
      </w:r>
      <w:r w:rsidR="004E3A75">
        <w:rPr>
          <w:rFonts w:ascii="Palatino Linotype" w:hAnsi="Palatino Linotype"/>
          <w:b/>
          <w:sz w:val="24"/>
          <w:szCs w:val="24"/>
        </w:rPr>
        <w:t>OCHO</w:t>
      </w:r>
      <w:r w:rsidR="000607BA" w:rsidRPr="00DE7A21">
        <w:rPr>
          <w:rFonts w:ascii="Palatino Linotype" w:hAnsi="Palatino Linotype"/>
          <w:b/>
          <w:sz w:val="24"/>
          <w:szCs w:val="24"/>
        </w:rPr>
        <w:t>, EN L</w:t>
      </w:r>
      <w:r w:rsidR="00A6063F">
        <w:rPr>
          <w:rFonts w:ascii="Palatino Linotype" w:hAnsi="Palatino Linotype"/>
          <w:b/>
          <w:sz w:val="24"/>
          <w:szCs w:val="24"/>
        </w:rPr>
        <w:t xml:space="preserve">OS </w:t>
      </w:r>
      <w:r w:rsidR="000607BA" w:rsidRPr="00DE7A21">
        <w:rPr>
          <w:rFonts w:ascii="Palatino Linotype" w:hAnsi="Palatino Linotype"/>
          <w:b/>
          <w:sz w:val="24"/>
          <w:szCs w:val="24"/>
        </w:rPr>
        <w:t xml:space="preserve"> RECURSO</w:t>
      </w:r>
      <w:r w:rsidR="00A6063F">
        <w:rPr>
          <w:rFonts w:ascii="Palatino Linotype" w:hAnsi="Palatino Linotype"/>
          <w:b/>
          <w:sz w:val="24"/>
          <w:szCs w:val="24"/>
        </w:rPr>
        <w:t>S</w:t>
      </w:r>
      <w:r w:rsidR="000607BA" w:rsidRPr="00DE7A21">
        <w:rPr>
          <w:rFonts w:ascii="Palatino Linotype" w:hAnsi="Palatino Linotype"/>
          <w:b/>
          <w:sz w:val="24"/>
          <w:szCs w:val="24"/>
        </w:rPr>
        <w:t xml:space="preserve"> DE REVISIÓN </w:t>
      </w:r>
      <w:r w:rsidR="000607BA" w:rsidRPr="0076036A">
        <w:rPr>
          <w:rFonts w:ascii="Palatino Linotype" w:hAnsi="Palatino Linotype"/>
          <w:b/>
          <w:sz w:val="24"/>
          <w:szCs w:val="24"/>
        </w:rPr>
        <w:t>0</w:t>
      </w:r>
      <w:r w:rsidR="0076036A" w:rsidRPr="0076036A">
        <w:rPr>
          <w:rFonts w:ascii="Palatino Linotype" w:hAnsi="Palatino Linotype"/>
          <w:b/>
          <w:sz w:val="24"/>
          <w:szCs w:val="24"/>
        </w:rPr>
        <w:t>3920</w:t>
      </w:r>
      <w:r w:rsidR="000607BA" w:rsidRPr="0076036A">
        <w:rPr>
          <w:rFonts w:ascii="Palatino Linotype" w:hAnsi="Palatino Linotype"/>
          <w:b/>
          <w:sz w:val="24"/>
          <w:szCs w:val="24"/>
        </w:rPr>
        <w:t>/INFOEM/IP/RR/201</w:t>
      </w:r>
      <w:r w:rsidR="00B438A9" w:rsidRPr="0076036A">
        <w:rPr>
          <w:rFonts w:ascii="Palatino Linotype" w:hAnsi="Palatino Linotype"/>
          <w:b/>
          <w:sz w:val="24"/>
          <w:szCs w:val="24"/>
        </w:rPr>
        <w:t>7</w:t>
      </w:r>
      <w:r w:rsidR="0076036A">
        <w:rPr>
          <w:rFonts w:ascii="Palatino Linotype" w:hAnsi="Palatino Linotype"/>
          <w:b/>
          <w:sz w:val="24"/>
          <w:szCs w:val="24"/>
        </w:rPr>
        <w:t xml:space="preserve"> y 03921</w:t>
      </w:r>
      <w:r w:rsidR="00C33457" w:rsidRPr="0076036A">
        <w:rPr>
          <w:rFonts w:ascii="Palatino Linotype" w:hAnsi="Palatino Linotype"/>
          <w:b/>
          <w:sz w:val="24"/>
          <w:szCs w:val="24"/>
        </w:rPr>
        <w:t>/INFOEM/IP/RR/2017</w:t>
      </w:r>
      <w:r w:rsidR="0076036A">
        <w:rPr>
          <w:rFonts w:ascii="Palatino Linotype" w:hAnsi="Palatino Linotype"/>
          <w:b/>
          <w:sz w:val="24"/>
          <w:szCs w:val="24"/>
        </w:rPr>
        <w:t>,</w:t>
      </w:r>
      <w:r w:rsidR="00C33457" w:rsidRPr="0076036A">
        <w:rPr>
          <w:rFonts w:ascii="Palatino Linotype" w:hAnsi="Palatino Linotype"/>
          <w:b/>
          <w:sz w:val="24"/>
          <w:szCs w:val="24"/>
        </w:rPr>
        <w:t xml:space="preserve"> acumulados</w:t>
      </w:r>
      <w:r w:rsidR="000607BA" w:rsidRPr="0076036A">
        <w:rPr>
          <w:rFonts w:ascii="Palatino Linotype" w:hAnsi="Palatino Linotype"/>
          <w:b/>
          <w:sz w:val="24"/>
          <w:szCs w:val="24"/>
        </w:rPr>
        <w:t>.</w:t>
      </w:r>
    </w:p>
    <w:p w:rsidR="001878F3" w:rsidRPr="00DE7A21" w:rsidRDefault="000607BA" w:rsidP="00DE7A21">
      <w:pPr>
        <w:spacing w:before="240" w:after="240" w:line="360" w:lineRule="auto"/>
        <w:jc w:val="both"/>
        <w:rPr>
          <w:rFonts w:ascii="Palatino Linotype" w:hAnsi="Palatino Linotype"/>
          <w:sz w:val="24"/>
          <w:szCs w:val="24"/>
        </w:rPr>
      </w:pPr>
      <w:r w:rsidRPr="00DE7A21">
        <w:rPr>
          <w:rFonts w:ascii="Palatino Linotype" w:hAnsi="Palatino Linotype"/>
          <w:sz w:val="24"/>
          <w:szCs w:val="24"/>
        </w:rPr>
        <w:t xml:space="preserve">Con fundamento en lo dispuesto por el artículo </w:t>
      </w:r>
      <w:r w:rsidR="001E420C" w:rsidRPr="00DE7A21">
        <w:rPr>
          <w:rFonts w:ascii="Palatino Linotype" w:hAnsi="Palatino Linotype"/>
          <w:sz w:val="24"/>
          <w:szCs w:val="24"/>
        </w:rPr>
        <w:t xml:space="preserve">14 fracciones X y </w:t>
      </w:r>
      <w:r w:rsidR="00B438A9" w:rsidRPr="00DE7A21">
        <w:rPr>
          <w:rFonts w:ascii="Palatino Linotype" w:hAnsi="Palatino Linotype"/>
          <w:sz w:val="24"/>
          <w:szCs w:val="24"/>
        </w:rPr>
        <w:t xml:space="preserve">XI </w:t>
      </w:r>
      <w:r w:rsidRPr="00DE7A21">
        <w:rPr>
          <w:rFonts w:ascii="Palatino Linotype" w:hAnsi="Palatino Linotype"/>
          <w:sz w:val="24"/>
          <w:szCs w:val="24"/>
        </w:rPr>
        <w:t xml:space="preserve">del Reglamento Interior del Instituto de Transparencia, Acceso a la Información Pública y Protección de Datos Personales del Estado de México y Municipios, </w:t>
      </w:r>
      <w:r w:rsidR="002634B7" w:rsidRPr="00DE7A21">
        <w:rPr>
          <w:rFonts w:ascii="Palatino Linotype" w:hAnsi="Palatino Linotype"/>
          <w:sz w:val="24"/>
          <w:szCs w:val="24"/>
        </w:rPr>
        <w:t>el</w:t>
      </w:r>
      <w:r w:rsidRPr="00DE7A21">
        <w:rPr>
          <w:rFonts w:ascii="Palatino Linotype" w:hAnsi="Palatino Linotype"/>
          <w:sz w:val="24"/>
          <w:szCs w:val="24"/>
        </w:rPr>
        <w:t xml:space="preserve"> Comisionad</w:t>
      </w:r>
      <w:r w:rsidR="006C34A1" w:rsidRPr="00DE7A21">
        <w:rPr>
          <w:rFonts w:ascii="Palatino Linotype" w:hAnsi="Palatino Linotype"/>
          <w:sz w:val="24"/>
          <w:szCs w:val="24"/>
        </w:rPr>
        <w:t>o Javier Martínez Cruz</w:t>
      </w:r>
      <w:r w:rsidR="003F066F" w:rsidRPr="00DE7A21">
        <w:rPr>
          <w:rFonts w:ascii="Palatino Linotype" w:hAnsi="Palatino Linotype"/>
          <w:sz w:val="24"/>
          <w:szCs w:val="24"/>
        </w:rPr>
        <w:t xml:space="preserve"> </w:t>
      </w:r>
      <w:r w:rsidRPr="00DE7A21">
        <w:rPr>
          <w:rFonts w:ascii="Palatino Linotype" w:hAnsi="Palatino Linotype"/>
          <w:sz w:val="24"/>
          <w:szCs w:val="24"/>
        </w:rPr>
        <w:t xml:space="preserve">emite </w:t>
      </w:r>
      <w:r w:rsidR="006C34A1" w:rsidRPr="00C33457">
        <w:rPr>
          <w:rFonts w:ascii="Palatino Linotype" w:hAnsi="Palatino Linotype"/>
          <w:b/>
          <w:sz w:val="24"/>
          <w:szCs w:val="24"/>
        </w:rPr>
        <w:t>VOTO</w:t>
      </w:r>
      <w:r w:rsidRPr="00C33457">
        <w:rPr>
          <w:rFonts w:ascii="Palatino Linotype" w:hAnsi="Palatino Linotype"/>
          <w:b/>
          <w:sz w:val="24"/>
          <w:szCs w:val="24"/>
        </w:rPr>
        <w:t xml:space="preserve"> PARTICULAR</w:t>
      </w:r>
      <w:r w:rsidR="006C34A1" w:rsidRPr="00DE7A21">
        <w:rPr>
          <w:rFonts w:ascii="Palatino Linotype" w:hAnsi="Palatino Linotype"/>
          <w:sz w:val="24"/>
          <w:szCs w:val="24"/>
        </w:rPr>
        <w:t xml:space="preserve"> </w:t>
      </w:r>
      <w:r w:rsidRPr="00DE7A21">
        <w:rPr>
          <w:rFonts w:ascii="Palatino Linotype" w:hAnsi="Palatino Linotype"/>
          <w:sz w:val="24"/>
          <w:szCs w:val="24"/>
        </w:rPr>
        <w:t xml:space="preserve">respecto a la resolución dictada en el recurso de revisión número </w:t>
      </w:r>
      <w:r w:rsidR="00B02DEB" w:rsidRPr="000A4618">
        <w:rPr>
          <w:rFonts w:ascii="Palatino Linotype" w:hAnsi="Palatino Linotype"/>
          <w:b/>
          <w:sz w:val="24"/>
          <w:szCs w:val="24"/>
        </w:rPr>
        <w:t>0</w:t>
      </w:r>
      <w:r w:rsidR="0076036A" w:rsidRPr="000A4618">
        <w:rPr>
          <w:rFonts w:ascii="Palatino Linotype" w:hAnsi="Palatino Linotype"/>
          <w:b/>
          <w:sz w:val="24"/>
          <w:szCs w:val="24"/>
        </w:rPr>
        <w:t>3920</w:t>
      </w:r>
      <w:r w:rsidRPr="000A4618">
        <w:rPr>
          <w:rFonts w:ascii="Palatino Linotype" w:hAnsi="Palatino Linotype"/>
          <w:b/>
          <w:sz w:val="24"/>
          <w:szCs w:val="24"/>
        </w:rPr>
        <w:t>/INFOEM/IP/RR/201</w:t>
      </w:r>
      <w:r w:rsidR="00B438A9" w:rsidRPr="000A4618">
        <w:rPr>
          <w:rFonts w:ascii="Palatino Linotype" w:hAnsi="Palatino Linotype"/>
          <w:b/>
          <w:sz w:val="24"/>
          <w:szCs w:val="24"/>
        </w:rPr>
        <w:t>7</w:t>
      </w:r>
      <w:r w:rsidR="00AC511A">
        <w:rPr>
          <w:rFonts w:ascii="Palatino Linotype" w:hAnsi="Palatino Linotype"/>
          <w:b/>
          <w:sz w:val="24"/>
          <w:szCs w:val="24"/>
        </w:rPr>
        <w:t xml:space="preserve"> y acumulados</w:t>
      </w:r>
      <w:r w:rsidRPr="00DE7A21">
        <w:rPr>
          <w:rFonts w:ascii="Palatino Linotype" w:hAnsi="Palatino Linotype"/>
          <w:sz w:val="24"/>
          <w:szCs w:val="24"/>
        </w:rPr>
        <w:t>, pronunciada por el Pleno de este Instituto ante el proyecto presentado por</w:t>
      </w:r>
      <w:r w:rsidR="0076036A">
        <w:rPr>
          <w:rFonts w:ascii="Palatino Linotype" w:hAnsi="Palatino Linotype"/>
          <w:sz w:val="24"/>
          <w:szCs w:val="24"/>
        </w:rPr>
        <w:t xml:space="preserve"> la</w:t>
      </w:r>
      <w:r w:rsidR="00C33457">
        <w:rPr>
          <w:rFonts w:ascii="Palatino Linotype" w:hAnsi="Palatino Linotype"/>
          <w:sz w:val="24"/>
          <w:szCs w:val="24"/>
        </w:rPr>
        <w:t xml:space="preserve"> </w:t>
      </w:r>
      <w:r w:rsidR="0076036A">
        <w:rPr>
          <w:rFonts w:ascii="Palatino Linotype" w:hAnsi="Palatino Linotype"/>
          <w:sz w:val="24"/>
          <w:szCs w:val="24"/>
        </w:rPr>
        <w:t>Comisionada</w:t>
      </w:r>
      <w:r w:rsidR="00872B6F">
        <w:rPr>
          <w:rFonts w:ascii="Palatino Linotype" w:hAnsi="Palatino Linotype"/>
          <w:sz w:val="24"/>
          <w:szCs w:val="24"/>
        </w:rPr>
        <w:t xml:space="preserve"> </w:t>
      </w:r>
      <w:r w:rsidR="0076036A">
        <w:rPr>
          <w:rFonts w:ascii="Palatino Linotype" w:hAnsi="Palatino Linotype"/>
          <w:sz w:val="24"/>
          <w:szCs w:val="24"/>
        </w:rPr>
        <w:t>Zulema Martínez Sánchez</w:t>
      </w:r>
      <w:r w:rsidR="00872B6F">
        <w:rPr>
          <w:rFonts w:ascii="Palatino Linotype" w:hAnsi="Palatino Linotype"/>
          <w:sz w:val="24"/>
          <w:szCs w:val="24"/>
        </w:rPr>
        <w:t xml:space="preserve">, </w:t>
      </w:r>
      <w:r w:rsidRPr="00DE7A21">
        <w:rPr>
          <w:rFonts w:ascii="Palatino Linotype" w:hAnsi="Palatino Linotype"/>
          <w:sz w:val="24"/>
          <w:szCs w:val="24"/>
        </w:rPr>
        <w:t xml:space="preserve">que es del tenor siguiente: </w:t>
      </w:r>
    </w:p>
    <w:p w:rsidR="007E75F7" w:rsidRDefault="00AA6F6A" w:rsidP="00BA462E">
      <w:pPr>
        <w:spacing w:before="240" w:after="240" w:line="360" w:lineRule="auto"/>
        <w:ind w:right="-3"/>
        <w:jc w:val="both"/>
        <w:rPr>
          <w:rFonts w:ascii="Palatino Linotype" w:hAnsi="Palatino Linotype" w:cs="Arial"/>
          <w:sz w:val="24"/>
          <w:szCs w:val="24"/>
        </w:rPr>
      </w:pPr>
      <w:r w:rsidRPr="00DE7A21">
        <w:rPr>
          <w:rFonts w:ascii="Palatino Linotype" w:eastAsia="Calibri" w:hAnsi="Palatino Linotype" w:cs="Arial"/>
          <w:sz w:val="24"/>
          <w:szCs w:val="24"/>
          <w:lang w:eastAsia="es-MX"/>
        </w:rPr>
        <w:t>E</w:t>
      </w:r>
      <w:r w:rsidRPr="00DE7A21">
        <w:rPr>
          <w:rFonts w:ascii="Palatino Linotype" w:hAnsi="Palatino Linotype"/>
          <w:sz w:val="24"/>
          <w:szCs w:val="24"/>
        </w:rPr>
        <w:t xml:space="preserve">n la sesión del </w:t>
      </w:r>
      <w:r w:rsidR="0076036A">
        <w:rPr>
          <w:rFonts w:ascii="Palatino Linotype" w:hAnsi="Palatino Linotype"/>
          <w:sz w:val="24"/>
          <w:szCs w:val="24"/>
        </w:rPr>
        <w:t>día doce</w:t>
      </w:r>
      <w:r w:rsidR="00872B6F">
        <w:rPr>
          <w:rFonts w:ascii="Palatino Linotype" w:hAnsi="Palatino Linotype"/>
          <w:sz w:val="24"/>
          <w:szCs w:val="24"/>
        </w:rPr>
        <w:t xml:space="preserve"> de mayo </w:t>
      </w:r>
      <w:r w:rsidRPr="00DE7A21">
        <w:rPr>
          <w:rFonts w:ascii="Palatino Linotype" w:hAnsi="Palatino Linotype"/>
          <w:sz w:val="24"/>
          <w:szCs w:val="24"/>
        </w:rPr>
        <w:t xml:space="preserve">del presente año, los integrantes del Pleno de este Instituto aprobaron </w:t>
      </w:r>
      <w:r w:rsidRPr="00872B6F">
        <w:rPr>
          <w:rFonts w:ascii="Palatino Linotype" w:hAnsi="Palatino Linotype"/>
          <w:b/>
          <w:sz w:val="24"/>
          <w:szCs w:val="24"/>
        </w:rPr>
        <w:t>MODIFICAR</w:t>
      </w:r>
      <w:r w:rsidRPr="00DE7A21">
        <w:rPr>
          <w:rFonts w:ascii="Palatino Linotype" w:hAnsi="Palatino Linotype"/>
          <w:sz w:val="24"/>
          <w:szCs w:val="24"/>
        </w:rPr>
        <w:t xml:space="preserve"> la respuesta</w:t>
      </w:r>
      <w:r w:rsidR="001714A3">
        <w:rPr>
          <w:rFonts w:ascii="Palatino Linotype" w:hAnsi="Palatino Linotype"/>
          <w:sz w:val="24"/>
          <w:szCs w:val="24"/>
        </w:rPr>
        <w:t xml:space="preserve"> del Sujeto O</w:t>
      </w:r>
      <w:r w:rsidRPr="00DE7A21">
        <w:rPr>
          <w:rFonts w:ascii="Palatino Linotype" w:hAnsi="Palatino Linotype"/>
          <w:sz w:val="24"/>
          <w:szCs w:val="24"/>
        </w:rPr>
        <w:t xml:space="preserve">bligado </w:t>
      </w:r>
      <w:r w:rsidR="00EB7F3E">
        <w:rPr>
          <w:rFonts w:ascii="Palatino Linotype" w:hAnsi="Palatino Linotype"/>
          <w:sz w:val="24"/>
          <w:szCs w:val="24"/>
        </w:rPr>
        <w:t>otorgada</w:t>
      </w:r>
      <w:r w:rsidR="0076036A">
        <w:rPr>
          <w:rFonts w:ascii="Palatino Linotype" w:hAnsi="Palatino Linotype"/>
          <w:sz w:val="24"/>
          <w:szCs w:val="24"/>
        </w:rPr>
        <w:t xml:space="preserve"> en la solicitud </w:t>
      </w:r>
      <w:r w:rsidR="0076036A">
        <w:rPr>
          <w:rFonts w:ascii="Palatino Linotype" w:hAnsi="Palatino Linotype" w:cs="Arial"/>
          <w:b/>
          <w:sz w:val="24"/>
          <w:szCs w:val="24"/>
        </w:rPr>
        <w:t>00351/HUIXQUIL/IP/2018</w:t>
      </w:r>
      <w:r w:rsidR="00EB7F3E">
        <w:rPr>
          <w:rFonts w:ascii="Palatino Linotype" w:hAnsi="Palatino Linotype" w:cs="Arial"/>
          <w:b/>
          <w:sz w:val="24"/>
          <w:szCs w:val="24"/>
        </w:rPr>
        <w:t xml:space="preserve"> </w:t>
      </w:r>
      <w:r w:rsidRPr="00DE7A21">
        <w:rPr>
          <w:rFonts w:ascii="Palatino Linotype" w:hAnsi="Palatino Linotype"/>
          <w:sz w:val="24"/>
          <w:szCs w:val="24"/>
        </w:rPr>
        <w:t xml:space="preserve">y </w:t>
      </w:r>
      <w:r w:rsidRPr="00872B6F">
        <w:rPr>
          <w:rFonts w:ascii="Palatino Linotype" w:hAnsi="Palatino Linotype"/>
          <w:b/>
          <w:sz w:val="24"/>
          <w:szCs w:val="24"/>
        </w:rPr>
        <w:t>ordenar</w:t>
      </w:r>
      <w:r w:rsidR="00602FA0">
        <w:rPr>
          <w:rFonts w:ascii="Palatino Linotype" w:hAnsi="Palatino Linotype"/>
          <w:sz w:val="24"/>
          <w:szCs w:val="24"/>
        </w:rPr>
        <w:t xml:space="preserve"> </w:t>
      </w:r>
      <w:r w:rsidRPr="00DE7A21">
        <w:rPr>
          <w:rFonts w:ascii="Palatino Linotype" w:hAnsi="Palatino Linotype"/>
          <w:sz w:val="24"/>
          <w:szCs w:val="24"/>
        </w:rPr>
        <w:t xml:space="preserve">la </w:t>
      </w:r>
      <w:r w:rsidRPr="00DE7A21">
        <w:rPr>
          <w:rFonts w:ascii="Palatino Linotype" w:hAnsi="Palatino Linotype" w:cs="Arial"/>
          <w:sz w:val="24"/>
          <w:szCs w:val="24"/>
        </w:rPr>
        <w:t>entrega al</w:t>
      </w:r>
      <w:r w:rsidRPr="00DE7A21">
        <w:rPr>
          <w:rFonts w:ascii="Palatino Linotype" w:hAnsi="Palatino Linotype" w:cs="Arial"/>
          <w:b/>
          <w:sz w:val="24"/>
          <w:szCs w:val="24"/>
        </w:rPr>
        <w:t xml:space="preserve"> RECURRENTE</w:t>
      </w:r>
      <w:r w:rsidRPr="00DE7A21">
        <w:rPr>
          <w:rFonts w:ascii="Palatino Linotype" w:hAnsi="Palatino Linotype" w:cs="Arial"/>
          <w:sz w:val="24"/>
          <w:szCs w:val="24"/>
        </w:rPr>
        <w:t xml:space="preserve">, </w:t>
      </w:r>
      <w:r w:rsidR="00602FA0">
        <w:rPr>
          <w:rFonts w:ascii="Palatino Linotype" w:hAnsi="Palatino Linotype" w:cs="Arial"/>
          <w:sz w:val="24"/>
          <w:szCs w:val="24"/>
        </w:rPr>
        <w:t>la informaci</w:t>
      </w:r>
      <w:r w:rsidR="00EB7F3E">
        <w:rPr>
          <w:rFonts w:ascii="Palatino Linotype" w:hAnsi="Palatino Linotype" w:cs="Arial"/>
          <w:sz w:val="24"/>
          <w:szCs w:val="24"/>
        </w:rPr>
        <w:t>ón señalada en el inciso “d</w:t>
      </w:r>
      <w:r w:rsidR="006E3EC4">
        <w:rPr>
          <w:rFonts w:ascii="Palatino Linotype" w:hAnsi="Palatino Linotype" w:cs="Arial"/>
          <w:sz w:val="24"/>
          <w:szCs w:val="24"/>
        </w:rPr>
        <w:t>”</w:t>
      </w:r>
      <w:r w:rsidR="00602FA0">
        <w:rPr>
          <w:rFonts w:ascii="Palatino Linotype" w:hAnsi="Palatino Linotype" w:cs="Arial"/>
          <w:sz w:val="24"/>
          <w:szCs w:val="24"/>
        </w:rPr>
        <w:t xml:space="preserve"> de la resolución, consistente en</w:t>
      </w:r>
      <w:r w:rsidR="007E75F7">
        <w:rPr>
          <w:rFonts w:ascii="Palatino Linotype" w:hAnsi="Palatino Linotype" w:cs="Arial"/>
          <w:sz w:val="24"/>
          <w:szCs w:val="24"/>
        </w:rPr>
        <w:t xml:space="preserve">: </w:t>
      </w:r>
    </w:p>
    <w:p w:rsidR="00EB7F3E" w:rsidRDefault="00EB7F3E" w:rsidP="00EB7F3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SEGUNDO. Se ORDENA al SUJETO OBLIGADO </w:t>
      </w:r>
      <w:r>
        <w:rPr>
          <w:rFonts w:ascii="Palatino Linotype" w:hAnsi="Palatino Linotype" w:cs="Arial"/>
          <w:sz w:val="24"/>
          <w:szCs w:val="24"/>
        </w:rPr>
        <w:t xml:space="preserve">haga entrega al </w:t>
      </w:r>
      <w:r>
        <w:rPr>
          <w:rFonts w:ascii="Palatino Linotype" w:hAnsi="Palatino Linotype" w:cs="Arial"/>
          <w:b/>
          <w:sz w:val="24"/>
          <w:szCs w:val="24"/>
        </w:rPr>
        <w:t xml:space="preserve">RECURRENTE, </w:t>
      </w:r>
      <w:r>
        <w:rPr>
          <w:rFonts w:ascii="Palatino Linotype" w:hAnsi="Palatino Linotype" w:cs="Arial"/>
          <w:sz w:val="24"/>
          <w:szCs w:val="24"/>
        </w:rPr>
        <w:t xml:space="preserve">en versión pública, a través del </w:t>
      </w:r>
      <w:r>
        <w:rPr>
          <w:rFonts w:ascii="Palatino Linotype" w:hAnsi="Palatino Linotype" w:cs="Arial"/>
          <w:b/>
          <w:sz w:val="24"/>
          <w:szCs w:val="24"/>
        </w:rPr>
        <w:t>SAIMEX,</w:t>
      </w:r>
      <w:r>
        <w:rPr>
          <w:rFonts w:ascii="Palatino Linotype" w:hAnsi="Palatino Linotype" w:cs="Arial"/>
          <w:sz w:val="24"/>
          <w:szCs w:val="24"/>
        </w:rPr>
        <w:t xml:space="preserve"> de lo siguiente:</w:t>
      </w:r>
    </w:p>
    <w:p w:rsidR="00685966" w:rsidRDefault="00EB7F3E" w:rsidP="00685966">
      <w:pPr>
        <w:spacing w:before="240" w:line="240" w:lineRule="auto"/>
        <w:contextualSpacing/>
        <w:jc w:val="both"/>
        <w:rPr>
          <w:rFonts w:ascii="Palatino Linotype" w:hAnsi="Palatino Linotype"/>
          <w:i/>
        </w:rPr>
      </w:pPr>
      <w:r>
        <w:rPr>
          <w:rFonts w:ascii="Palatino Linotype" w:hAnsi="Palatino Linotype"/>
          <w:i/>
        </w:rPr>
        <w:t>….</w:t>
      </w:r>
    </w:p>
    <w:p w:rsidR="00EB7F3E" w:rsidRDefault="00EB7F3E" w:rsidP="00685966">
      <w:pPr>
        <w:spacing w:before="240" w:line="240" w:lineRule="auto"/>
        <w:ind w:left="284" w:right="423"/>
        <w:contextualSpacing/>
        <w:jc w:val="both"/>
        <w:rPr>
          <w:rFonts w:ascii="Palatino Linotype" w:hAnsi="Palatino Linotype"/>
          <w:i/>
        </w:rPr>
      </w:pPr>
      <w:r>
        <w:rPr>
          <w:rFonts w:ascii="Palatino Linotype" w:hAnsi="Palatino Linotype"/>
          <w:i/>
        </w:rPr>
        <w:t>d). Certificado de antecedentes no penales expedida por autoridad competente, a favor de la Titular de la Unidad de Transparencia… (Sic)</w:t>
      </w:r>
    </w:p>
    <w:p w:rsidR="00685966" w:rsidRDefault="00685966" w:rsidP="00685966">
      <w:pPr>
        <w:spacing w:before="240" w:line="240" w:lineRule="auto"/>
        <w:contextualSpacing/>
        <w:jc w:val="both"/>
        <w:rPr>
          <w:rFonts w:ascii="Palatino Linotype" w:hAnsi="Palatino Linotype"/>
          <w:i/>
        </w:rPr>
      </w:pPr>
    </w:p>
    <w:p w:rsidR="001714A3" w:rsidRDefault="001714A3" w:rsidP="00EB7F3E">
      <w:pPr>
        <w:spacing w:before="240" w:after="240" w:line="360" w:lineRule="auto"/>
        <w:ind w:right="-3"/>
        <w:jc w:val="both"/>
        <w:rPr>
          <w:rFonts w:ascii="Palatino Linotype" w:hAnsi="Palatino Linotype"/>
          <w:sz w:val="24"/>
          <w:szCs w:val="24"/>
        </w:rPr>
      </w:pPr>
      <w:r w:rsidRPr="001714A3">
        <w:rPr>
          <w:rFonts w:ascii="Palatino Linotype" w:hAnsi="Palatino Linotype"/>
          <w:sz w:val="24"/>
          <w:szCs w:val="24"/>
        </w:rPr>
        <w:t>El antecedente de dicha determinación lo constituye</w:t>
      </w:r>
      <w:r w:rsidR="00EB7F3E">
        <w:rPr>
          <w:rFonts w:ascii="Palatino Linotype" w:hAnsi="Palatino Linotype"/>
          <w:sz w:val="24"/>
          <w:szCs w:val="24"/>
        </w:rPr>
        <w:t>n</w:t>
      </w:r>
      <w:r w:rsidRPr="001714A3">
        <w:rPr>
          <w:rFonts w:ascii="Palatino Linotype" w:hAnsi="Palatino Linotype"/>
          <w:sz w:val="24"/>
          <w:szCs w:val="24"/>
        </w:rPr>
        <w:t xml:space="preserve"> la</w:t>
      </w:r>
      <w:r>
        <w:rPr>
          <w:rFonts w:ascii="Palatino Linotype" w:hAnsi="Palatino Linotype"/>
          <w:sz w:val="24"/>
          <w:szCs w:val="24"/>
        </w:rPr>
        <w:t>s</w:t>
      </w:r>
      <w:r w:rsidRPr="001714A3">
        <w:rPr>
          <w:rFonts w:ascii="Palatino Linotype" w:hAnsi="Palatino Linotype"/>
          <w:sz w:val="24"/>
          <w:szCs w:val="24"/>
        </w:rPr>
        <w:t xml:space="preserve"> solicitud</w:t>
      </w:r>
      <w:r>
        <w:rPr>
          <w:rFonts w:ascii="Palatino Linotype" w:hAnsi="Palatino Linotype"/>
          <w:sz w:val="24"/>
          <w:szCs w:val="24"/>
        </w:rPr>
        <w:t>es</w:t>
      </w:r>
      <w:r w:rsidRPr="001714A3">
        <w:rPr>
          <w:rFonts w:ascii="Palatino Linotype" w:hAnsi="Palatino Linotype"/>
          <w:sz w:val="24"/>
          <w:szCs w:val="24"/>
        </w:rPr>
        <w:t xml:space="preserve"> de información del hoy Recurrente</w:t>
      </w:r>
      <w:r w:rsidR="00307361">
        <w:rPr>
          <w:rFonts w:ascii="Palatino Linotype" w:hAnsi="Palatino Linotype"/>
          <w:sz w:val="24"/>
          <w:szCs w:val="24"/>
        </w:rPr>
        <w:t>,</w:t>
      </w:r>
      <w:r w:rsidRPr="001714A3">
        <w:rPr>
          <w:rFonts w:ascii="Palatino Linotype" w:hAnsi="Palatino Linotype"/>
          <w:sz w:val="24"/>
          <w:szCs w:val="24"/>
        </w:rPr>
        <w:t xml:space="preserve"> quien requirió del Sujeto Obligado</w:t>
      </w:r>
      <w:r>
        <w:rPr>
          <w:rFonts w:ascii="Palatino Linotype" w:hAnsi="Palatino Linotype"/>
          <w:sz w:val="24"/>
          <w:szCs w:val="24"/>
        </w:rPr>
        <w:t xml:space="preserve">, en lo que al presente estudio interesa, la información siguiente: </w:t>
      </w:r>
    </w:p>
    <w:p w:rsidR="001714A3" w:rsidRDefault="001714A3" w:rsidP="001714A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la solicitud de información </w:t>
      </w:r>
      <w:r w:rsidR="00EB7F3E" w:rsidRPr="00EB7F3E">
        <w:rPr>
          <w:rFonts w:ascii="Palatino Linotype" w:hAnsi="Palatino Linotype"/>
          <w:b/>
          <w:sz w:val="24"/>
          <w:szCs w:val="24"/>
        </w:rPr>
        <w:t>00351/HUIXQUIL/IP/2018</w:t>
      </w:r>
      <w:r w:rsidRPr="001714A3">
        <w:rPr>
          <w:rFonts w:ascii="Palatino Linotype" w:hAnsi="Palatino Linotype"/>
          <w:sz w:val="24"/>
          <w:szCs w:val="24"/>
        </w:rPr>
        <w:t>:</w:t>
      </w:r>
    </w:p>
    <w:p w:rsidR="001714A3" w:rsidRPr="001714A3" w:rsidRDefault="001714A3" w:rsidP="007E75F7">
      <w:pPr>
        <w:spacing w:before="240" w:after="240" w:line="240" w:lineRule="auto"/>
        <w:ind w:left="851" w:right="990"/>
        <w:jc w:val="both"/>
        <w:rPr>
          <w:rFonts w:ascii="Palatino Linotype" w:hAnsi="Palatino Linotype"/>
          <w:i/>
          <w:sz w:val="24"/>
          <w:szCs w:val="24"/>
        </w:rPr>
      </w:pPr>
      <w:r w:rsidRPr="001714A3">
        <w:rPr>
          <w:rFonts w:ascii="Palatino Linotype" w:hAnsi="Palatino Linotype"/>
          <w:sz w:val="24"/>
          <w:szCs w:val="24"/>
        </w:rPr>
        <w:t xml:space="preserve"> </w:t>
      </w:r>
      <w:r w:rsidRPr="001714A3">
        <w:rPr>
          <w:rFonts w:ascii="Palatino Linotype" w:hAnsi="Palatino Linotype"/>
          <w:i/>
          <w:sz w:val="24"/>
          <w:szCs w:val="24"/>
        </w:rPr>
        <w:t>“</w:t>
      </w:r>
      <w:r w:rsidR="00EB7F3E">
        <w:rPr>
          <w:rFonts w:ascii="Palatino Linotype" w:hAnsi="Palatino Linotype"/>
          <w:i/>
          <w:color w:val="000000"/>
        </w:rPr>
        <w:t>… 5 quiero copia de todos los documentos que dicen las leyes y reglamentos que el titular de la unidad de transparencia entrego al ayuntamiento para ocupar su cargo (por ejemplo comprobante de estudios, curriculum vitae, solicitud de empleo elaborada, certificado de antecedentes no penales, acta de nacimiento, credencial de elector, comprobante de domicilio, constancia de no inhabilitación…</w:t>
      </w:r>
      <w:r w:rsidRPr="001714A3">
        <w:rPr>
          <w:rFonts w:ascii="Palatino Linotype" w:hAnsi="Palatino Linotype"/>
          <w:i/>
          <w:sz w:val="24"/>
          <w:szCs w:val="24"/>
        </w:rPr>
        <w:t>”</w:t>
      </w:r>
      <w:r w:rsidR="00EB7F3E">
        <w:rPr>
          <w:rFonts w:ascii="Palatino Linotype" w:hAnsi="Palatino Linotype"/>
          <w:i/>
          <w:sz w:val="24"/>
          <w:szCs w:val="24"/>
        </w:rPr>
        <w:t>(Sic)</w:t>
      </w:r>
    </w:p>
    <w:p w:rsidR="001714A3" w:rsidRDefault="001714A3" w:rsidP="001714A3">
      <w:pPr>
        <w:spacing w:before="240" w:after="240" w:line="360" w:lineRule="auto"/>
        <w:jc w:val="both"/>
        <w:rPr>
          <w:rFonts w:ascii="Palatino Linotype" w:hAnsi="Palatino Linotype"/>
          <w:sz w:val="24"/>
          <w:szCs w:val="24"/>
        </w:rPr>
      </w:pPr>
      <w:r>
        <w:rPr>
          <w:rFonts w:ascii="Palatino Linotype" w:hAnsi="Palatino Linotype"/>
          <w:sz w:val="24"/>
          <w:szCs w:val="24"/>
        </w:rPr>
        <w:t>En el caso de la solicitud</w:t>
      </w:r>
      <w:r w:rsidR="00EB7F3E">
        <w:rPr>
          <w:rFonts w:ascii="Palatino Linotype" w:hAnsi="Palatino Linotype"/>
          <w:sz w:val="24"/>
          <w:szCs w:val="24"/>
        </w:rPr>
        <w:t xml:space="preserve"> 00352/HUIXQUIL/IP/2018</w:t>
      </w:r>
      <w:r>
        <w:rPr>
          <w:rFonts w:ascii="Palatino Linotype" w:hAnsi="Palatino Linotype"/>
          <w:sz w:val="24"/>
          <w:szCs w:val="24"/>
        </w:rPr>
        <w:t xml:space="preserve">: </w:t>
      </w:r>
    </w:p>
    <w:p w:rsidR="001714A3" w:rsidRDefault="001714A3" w:rsidP="00EB7F3E">
      <w:pPr>
        <w:spacing w:before="240" w:after="240" w:line="240" w:lineRule="auto"/>
        <w:ind w:left="851" w:right="992"/>
        <w:contextualSpacing/>
        <w:jc w:val="both"/>
        <w:rPr>
          <w:rFonts w:ascii="Palatino Linotype" w:hAnsi="Palatino Linotype"/>
          <w:i/>
          <w:sz w:val="24"/>
          <w:szCs w:val="24"/>
        </w:rPr>
      </w:pPr>
      <w:r w:rsidRPr="001714A3">
        <w:rPr>
          <w:rFonts w:ascii="Palatino Linotype" w:hAnsi="Palatino Linotype"/>
          <w:i/>
          <w:sz w:val="24"/>
          <w:szCs w:val="24"/>
        </w:rPr>
        <w:t>“</w:t>
      </w:r>
      <w:r w:rsidR="00EB7F3E">
        <w:rPr>
          <w:rFonts w:ascii="Palatino Linotype" w:hAnsi="Palatino Linotype"/>
          <w:i/>
          <w:color w:val="000000"/>
        </w:rPr>
        <w:t xml:space="preserve">Todos los documentos que comprueben que el titular de la unidad de transparencia cumple con los requisitos que dice el </w:t>
      </w:r>
      <w:proofErr w:type="spellStart"/>
      <w:r w:rsidR="00EB7F3E">
        <w:rPr>
          <w:rFonts w:ascii="Palatino Linotype" w:hAnsi="Palatino Linotype"/>
          <w:i/>
          <w:color w:val="000000"/>
        </w:rPr>
        <w:t>articulo</w:t>
      </w:r>
      <w:proofErr w:type="spellEnd"/>
      <w:r w:rsidR="00EB7F3E">
        <w:rPr>
          <w:rFonts w:ascii="Palatino Linotype" w:hAnsi="Palatino Linotype"/>
          <w:i/>
          <w:color w:val="000000"/>
        </w:rPr>
        <w:t xml:space="preserve"> 57 de la </w:t>
      </w:r>
      <w:proofErr w:type="spellStart"/>
      <w:r w:rsidR="00EB7F3E">
        <w:rPr>
          <w:rFonts w:ascii="Palatino Linotype" w:hAnsi="Palatino Linotype"/>
          <w:i/>
          <w:color w:val="000000"/>
        </w:rPr>
        <w:t>la</w:t>
      </w:r>
      <w:proofErr w:type="spellEnd"/>
      <w:r w:rsidR="00EB7F3E">
        <w:rPr>
          <w:rFonts w:ascii="Palatino Linotype" w:hAnsi="Palatino Linotype"/>
          <w:i/>
          <w:color w:val="000000"/>
        </w:rPr>
        <w:t xml:space="preserve"> ley de transparencia del estado</w:t>
      </w:r>
      <w:r w:rsidRPr="001714A3">
        <w:rPr>
          <w:rFonts w:ascii="Palatino Linotype" w:hAnsi="Palatino Linotype"/>
          <w:i/>
          <w:sz w:val="24"/>
          <w:szCs w:val="24"/>
        </w:rPr>
        <w:t>”</w:t>
      </w:r>
      <w:r w:rsidR="00EB7F3E">
        <w:rPr>
          <w:rFonts w:ascii="Palatino Linotype" w:hAnsi="Palatino Linotype"/>
          <w:i/>
          <w:sz w:val="24"/>
          <w:szCs w:val="24"/>
        </w:rPr>
        <w:t xml:space="preserve">(Sic) </w:t>
      </w:r>
    </w:p>
    <w:p w:rsidR="00EB7F3E" w:rsidRDefault="00EB7F3E" w:rsidP="00EB7F3E">
      <w:pPr>
        <w:spacing w:before="240" w:after="240" w:line="240" w:lineRule="auto"/>
        <w:ind w:left="851" w:right="992"/>
        <w:contextualSpacing/>
        <w:jc w:val="both"/>
        <w:rPr>
          <w:rFonts w:ascii="Palatino Linotype" w:hAnsi="Palatino Linotype"/>
          <w:i/>
          <w:sz w:val="24"/>
          <w:szCs w:val="24"/>
        </w:rPr>
      </w:pPr>
    </w:p>
    <w:p w:rsidR="000A4618" w:rsidRDefault="000A4618" w:rsidP="001714A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Cabe precisar, que el recurso de revisión </w:t>
      </w:r>
      <w:r w:rsidRPr="00DE7A21">
        <w:rPr>
          <w:rFonts w:ascii="Palatino Linotype" w:hAnsi="Palatino Linotype"/>
          <w:sz w:val="24"/>
          <w:szCs w:val="24"/>
        </w:rPr>
        <w:t>0</w:t>
      </w:r>
      <w:r>
        <w:rPr>
          <w:rFonts w:ascii="Palatino Linotype" w:hAnsi="Palatino Linotype"/>
          <w:sz w:val="24"/>
          <w:szCs w:val="24"/>
        </w:rPr>
        <w:t>3921</w:t>
      </w:r>
      <w:r w:rsidRPr="00DE7A21">
        <w:rPr>
          <w:rFonts w:ascii="Palatino Linotype" w:hAnsi="Palatino Linotype"/>
          <w:sz w:val="24"/>
          <w:szCs w:val="24"/>
        </w:rPr>
        <w:t>/INFOEM/IP/RR/2017</w:t>
      </w:r>
      <w:r>
        <w:rPr>
          <w:rFonts w:ascii="Palatino Linotype" w:hAnsi="Palatino Linotype"/>
          <w:sz w:val="24"/>
          <w:szCs w:val="24"/>
        </w:rPr>
        <w:t>, fue sobreseído en la resolución que nos ocupa, po</w:t>
      </w:r>
      <w:r w:rsidR="00727010">
        <w:rPr>
          <w:rFonts w:ascii="Palatino Linotype" w:hAnsi="Palatino Linotype"/>
          <w:sz w:val="24"/>
          <w:szCs w:val="24"/>
        </w:rPr>
        <w:t>rque el Sujeto Obligado modificó</w:t>
      </w:r>
      <w:r>
        <w:rPr>
          <w:rFonts w:ascii="Palatino Linotype" w:hAnsi="Palatino Linotype"/>
          <w:sz w:val="24"/>
          <w:szCs w:val="24"/>
        </w:rPr>
        <w:t xml:space="preserve"> su respuesta primigenia en alcance al Informe Justificado, al proporcionar el documento requerido por el particular en solicitud señalada en el párrafo anterior.</w:t>
      </w:r>
    </w:p>
    <w:p w:rsidR="00453622"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lastRenderedPageBreak/>
        <w:t>En respuesta</w:t>
      </w:r>
      <w:r w:rsidR="000A4618">
        <w:rPr>
          <w:rFonts w:ascii="Palatino Linotype" w:hAnsi="Palatino Linotype"/>
          <w:sz w:val="24"/>
          <w:szCs w:val="24"/>
        </w:rPr>
        <w:t xml:space="preserve"> a la solicitud </w:t>
      </w:r>
      <w:r w:rsidR="000A4618" w:rsidRPr="00EB7F3E">
        <w:rPr>
          <w:rFonts w:ascii="Palatino Linotype" w:hAnsi="Palatino Linotype"/>
          <w:b/>
          <w:sz w:val="24"/>
          <w:szCs w:val="24"/>
        </w:rPr>
        <w:t>00351/HUIXQUIL/IP/2018</w:t>
      </w:r>
      <w:r>
        <w:rPr>
          <w:rFonts w:ascii="Palatino Linotype" w:hAnsi="Palatino Linotype"/>
          <w:sz w:val="24"/>
          <w:szCs w:val="24"/>
        </w:rPr>
        <w:t xml:space="preserve">, </w:t>
      </w:r>
      <w:r w:rsidRPr="001714A3">
        <w:rPr>
          <w:rFonts w:ascii="Palatino Linotype" w:hAnsi="Palatino Linotype"/>
          <w:sz w:val="24"/>
          <w:szCs w:val="24"/>
        </w:rPr>
        <w:t xml:space="preserve">el Sujeto Obligado </w:t>
      </w:r>
      <w:r>
        <w:rPr>
          <w:rFonts w:ascii="Palatino Linotype" w:hAnsi="Palatino Linotype"/>
          <w:sz w:val="24"/>
          <w:szCs w:val="24"/>
        </w:rPr>
        <w:t xml:space="preserve">de manera análoga y sustancialmente señaló: </w:t>
      </w:r>
    </w:p>
    <w:p w:rsidR="00DA5B01" w:rsidRDefault="0096627E" w:rsidP="007E75F7">
      <w:pPr>
        <w:spacing w:before="240" w:after="240" w:line="240" w:lineRule="auto"/>
        <w:ind w:left="851" w:right="990"/>
        <w:jc w:val="both"/>
        <w:rPr>
          <w:rFonts w:ascii="Palatino Linotype" w:hAnsi="Palatino Linotype"/>
          <w:i/>
          <w:sz w:val="24"/>
          <w:szCs w:val="24"/>
        </w:rPr>
      </w:pPr>
      <w:r w:rsidRPr="0096627E">
        <w:rPr>
          <w:rFonts w:ascii="Palatino Linotype" w:hAnsi="Palatino Linotype"/>
          <w:i/>
          <w:sz w:val="24"/>
          <w:szCs w:val="24"/>
        </w:rPr>
        <w:t>“</w:t>
      </w:r>
      <w:r w:rsidR="00E31907">
        <w:rPr>
          <w:rFonts w:ascii="Palatino Linotype" w:hAnsi="Palatino Linotype"/>
          <w:i/>
          <w:sz w:val="24"/>
          <w:szCs w:val="24"/>
        </w:rPr>
        <w:t>…</w:t>
      </w:r>
      <w:r w:rsidR="00E31907">
        <w:rPr>
          <w:rFonts w:ascii="Palatino Linotype" w:hAnsi="Palatino Linotype"/>
          <w:i/>
          <w:color w:val="000000"/>
        </w:rPr>
        <w:t>1. El 6 de febrero de 2016, dan inicio las actividades de Mariana Victoria Yáñez Rodríguez, en calidad de Titular de la Unidad de Transparencia del H. Ayuntamiento de Huixquilucan, para la administración 2016 - 2018. 3. Se anexa al presente, el archivo electrónico correspondiente al nombramiento de la Titular de la Unidad de Transparencia, signado por Enrique Vargas del Villar y Pablo Fernández de Cevallos González; en su calidad de Presidente Municipal Constitucional y Secretario del Ayuntamiento respectivamente. 5. El ingreso de un servidor público constituye, indubitablemente, la creación y resguardo de la información respectiva al acto jurídico de referencia, sin embargo, por la naturaleza de los mismos, (acta de nacimiento, CURP, credencial de elector, comprobante de estudios, comprobante de domicilio, certificado de antecedentes no penales, solicitud de empleo, curriculum vitae, así como constancia de no inhabilitación)resulta necesario hacer del conocimiento del solicitante, que se trata de información cuyo contenido tiene el carácter de personal; hecho por el que la información al respecto debe ser solicitada vía SARCOEM, (Sistema de Acceso, Rectificación, Cancelación y Oposición de Datos Personales del Estado de México; garantizando así el débito que tiene este sujeto obligado de garantizar la protección de los derechos ARCO; que deben ser comprendidos como, aquellos derechos que tiene un titular de datos personales, para solicitar el acceso, rectificación, cancelación u oposición sobre el tratamiento de sus datos, ante el Sujeto Obligado que esté en posesión de los mismos; insistiendo, en que es menester permanente de esta Administración garantizar el derecho humano al acceso a la información, en ningún caso pretendemos vulnerar dicha facultad primigenia, sin embargo, le exhortamos a hacerlo por el mecanismo adecuado. Por otro lado, el marco jurídico vigente para los Estados Unidos Mexicanos y para el Estado de México y municipios, no hace referencia a requisitos que constituyan documentos carácter público que deban formar parte del expediente de ingreso, más allá del nombramiento que en numerales anteriores ha sido citado y cuya versión electrónica forma parte de los anexos de este ocurso</w:t>
      </w:r>
      <w:r w:rsidR="00D3032D">
        <w:rPr>
          <w:rFonts w:ascii="Palatino Linotype" w:hAnsi="Palatino Linotype"/>
          <w:i/>
          <w:color w:val="000000"/>
        </w:rPr>
        <w:t>… (</w:t>
      </w:r>
      <w:r w:rsidR="00E31907">
        <w:rPr>
          <w:rFonts w:ascii="Palatino Linotype" w:hAnsi="Palatino Linotype"/>
          <w:i/>
          <w:color w:val="000000"/>
        </w:rPr>
        <w:t>Sic)</w:t>
      </w:r>
      <w:r w:rsidRPr="0096627E">
        <w:rPr>
          <w:rFonts w:ascii="Palatino Linotype" w:hAnsi="Palatino Linotype"/>
          <w:i/>
          <w:sz w:val="24"/>
          <w:szCs w:val="24"/>
        </w:rPr>
        <w:t>”</w:t>
      </w:r>
    </w:p>
    <w:p w:rsidR="001F2673" w:rsidRPr="00E31907" w:rsidRDefault="001714A3" w:rsidP="00E31907">
      <w:pPr>
        <w:spacing w:before="240" w:after="240" w:line="360" w:lineRule="auto"/>
        <w:jc w:val="both"/>
        <w:rPr>
          <w:rFonts w:ascii="Palatino Linotype" w:hAnsi="Palatino Linotype"/>
          <w:sz w:val="24"/>
          <w:szCs w:val="24"/>
        </w:rPr>
      </w:pPr>
      <w:r w:rsidRPr="001714A3">
        <w:rPr>
          <w:rFonts w:ascii="Palatino Linotype" w:hAnsi="Palatino Linotype"/>
          <w:sz w:val="24"/>
          <w:szCs w:val="24"/>
        </w:rPr>
        <w:lastRenderedPageBreak/>
        <w:t>Inconforme con la respuesta</w:t>
      </w:r>
      <w:r w:rsidR="001F2673">
        <w:rPr>
          <w:rFonts w:ascii="Palatino Linotype" w:hAnsi="Palatino Linotype"/>
          <w:sz w:val="24"/>
          <w:szCs w:val="24"/>
        </w:rPr>
        <w:t>,</w:t>
      </w:r>
      <w:r w:rsidRPr="001714A3">
        <w:rPr>
          <w:rFonts w:ascii="Palatino Linotype" w:hAnsi="Palatino Linotype"/>
          <w:sz w:val="24"/>
          <w:szCs w:val="24"/>
        </w:rPr>
        <w:t xml:space="preserve"> el Recurrente interpuso </w:t>
      </w:r>
      <w:r w:rsidR="00B33D79">
        <w:rPr>
          <w:rFonts w:ascii="Palatino Linotype" w:hAnsi="Palatino Linotype"/>
          <w:sz w:val="24"/>
          <w:szCs w:val="24"/>
        </w:rPr>
        <w:t xml:space="preserve">los </w:t>
      </w:r>
      <w:r w:rsidRPr="001714A3">
        <w:rPr>
          <w:rFonts w:ascii="Palatino Linotype" w:hAnsi="Palatino Linotype"/>
          <w:sz w:val="24"/>
          <w:szCs w:val="24"/>
        </w:rPr>
        <w:t>Recurso</w:t>
      </w:r>
      <w:r w:rsidR="001F2673">
        <w:rPr>
          <w:rFonts w:ascii="Palatino Linotype" w:hAnsi="Palatino Linotype"/>
          <w:sz w:val="24"/>
          <w:szCs w:val="24"/>
        </w:rPr>
        <w:t>s</w:t>
      </w:r>
      <w:r w:rsidRPr="001714A3">
        <w:rPr>
          <w:rFonts w:ascii="Palatino Linotype" w:hAnsi="Palatino Linotype"/>
          <w:sz w:val="24"/>
          <w:szCs w:val="24"/>
        </w:rPr>
        <w:t xml:space="preserve"> de Revisión de mérito, doliéndose esencialmente en su</w:t>
      </w:r>
      <w:r w:rsidR="001F2673">
        <w:rPr>
          <w:rFonts w:ascii="Palatino Linotype" w:hAnsi="Palatino Linotype"/>
          <w:sz w:val="24"/>
          <w:szCs w:val="24"/>
        </w:rPr>
        <w:t>s</w:t>
      </w:r>
      <w:r w:rsidRPr="001714A3">
        <w:rPr>
          <w:rFonts w:ascii="Palatino Linotype" w:hAnsi="Palatino Linotype"/>
          <w:sz w:val="24"/>
          <w:szCs w:val="24"/>
        </w:rPr>
        <w:t xml:space="preserve"> motivo</w:t>
      </w:r>
      <w:r w:rsidR="001F2673">
        <w:rPr>
          <w:rFonts w:ascii="Palatino Linotype" w:hAnsi="Palatino Linotype"/>
          <w:sz w:val="24"/>
          <w:szCs w:val="24"/>
        </w:rPr>
        <w:t>s</w:t>
      </w:r>
      <w:r w:rsidRPr="001714A3">
        <w:rPr>
          <w:rFonts w:ascii="Palatino Linotype" w:hAnsi="Palatino Linotype"/>
          <w:sz w:val="24"/>
          <w:szCs w:val="24"/>
        </w:rPr>
        <w:t xml:space="preserve"> de inconformidad</w:t>
      </w:r>
      <w:r w:rsidR="00B33D79">
        <w:rPr>
          <w:rFonts w:ascii="Palatino Linotype" w:hAnsi="Palatino Linotype"/>
          <w:sz w:val="24"/>
          <w:szCs w:val="24"/>
        </w:rPr>
        <w:t xml:space="preserve">, </w:t>
      </w:r>
      <w:r w:rsidR="00E31907">
        <w:rPr>
          <w:rFonts w:ascii="Palatino Linotype" w:hAnsi="Palatino Linotype"/>
          <w:sz w:val="24"/>
          <w:szCs w:val="24"/>
        </w:rPr>
        <w:t xml:space="preserve">porque </w:t>
      </w:r>
      <w:r w:rsidR="00E31907" w:rsidRPr="00E31907">
        <w:rPr>
          <w:rFonts w:ascii="Palatino Linotype" w:hAnsi="Palatino Linotype"/>
          <w:sz w:val="24"/>
          <w:szCs w:val="24"/>
        </w:rPr>
        <w:t xml:space="preserve">la respuesta no contiene </w:t>
      </w:r>
      <w:r w:rsidR="00E31907">
        <w:rPr>
          <w:rFonts w:ascii="Palatino Linotype" w:hAnsi="Palatino Linotype"/>
          <w:sz w:val="24"/>
          <w:szCs w:val="24"/>
        </w:rPr>
        <w:t>toda la información que solicitó.</w:t>
      </w:r>
    </w:p>
    <w:p w:rsidR="00E31907" w:rsidRDefault="00DA5B01" w:rsidP="00001CB1">
      <w:pPr>
        <w:spacing w:before="240" w:after="240" w:line="360" w:lineRule="auto"/>
        <w:jc w:val="both"/>
        <w:rPr>
          <w:rFonts w:ascii="Palatino Linotype" w:hAnsi="Palatino Linotype" w:cs="Arial"/>
          <w:b/>
          <w:sz w:val="24"/>
          <w:szCs w:val="24"/>
        </w:rPr>
      </w:pPr>
      <w:r>
        <w:rPr>
          <w:rFonts w:ascii="Palatino Linotype" w:eastAsia="MS Mincho" w:hAnsi="Palatino Linotype" w:cs="Times New Roman"/>
          <w:sz w:val="24"/>
          <w:szCs w:val="24"/>
          <w:lang w:val="es-ES_tradnl" w:eastAsia="es-ES"/>
        </w:rPr>
        <w:t xml:space="preserve">Por su parte, el Sujeto Obligado </w:t>
      </w:r>
      <w:r w:rsidR="00D3032D">
        <w:rPr>
          <w:rFonts w:ascii="Palatino Linotype" w:eastAsia="MS Mincho" w:hAnsi="Palatino Linotype" w:cs="Times New Roman"/>
          <w:sz w:val="24"/>
          <w:szCs w:val="24"/>
          <w:lang w:val="es-ES_tradnl" w:eastAsia="es-ES"/>
        </w:rPr>
        <w:t xml:space="preserve">en </w:t>
      </w:r>
      <w:r w:rsidR="00E31907">
        <w:rPr>
          <w:rFonts w:ascii="Palatino Linotype" w:hAnsi="Palatino Linotype" w:cs="Arial"/>
          <w:sz w:val="24"/>
          <w:szCs w:val="24"/>
        </w:rPr>
        <w:t>fechas treinta de octubre y ocho de noviembre de los corrientes</w:t>
      </w:r>
      <w:r w:rsidR="00D3032D">
        <w:rPr>
          <w:rFonts w:ascii="Palatino Linotype" w:hAnsi="Palatino Linotype" w:cs="Arial"/>
          <w:sz w:val="24"/>
          <w:szCs w:val="24"/>
        </w:rPr>
        <w:t>, en sus informes justificados</w:t>
      </w:r>
      <w:r w:rsidR="00E31907">
        <w:rPr>
          <w:rFonts w:ascii="Palatino Linotype" w:hAnsi="Palatino Linotype" w:cs="Arial"/>
          <w:b/>
          <w:sz w:val="24"/>
          <w:szCs w:val="24"/>
        </w:rPr>
        <w:t xml:space="preserve"> </w:t>
      </w:r>
      <w:r w:rsidR="00E31907">
        <w:rPr>
          <w:rFonts w:ascii="Palatino Linotype" w:hAnsi="Palatino Linotype" w:cs="Arial"/>
          <w:sz w:val="24"/>
          <w:szCs w:val="24"/>
        </w:rPr>
        <w:t xml:space="preserve">no rindió manifestaciones complementarias respecto del primer requerimiento de la solicitud de información </w:t>
      </w:r>
      <w:r w:rsidR="00D3032D">
        <w:rPr>
          <w:rFonts w:ascii="Palatino Linotype" w:hAnsi="Palatino Linotype" w:cs="Arial"/>
          <w:b/>
          <w:sz w:val="24"/>
          <w:szCs w:val="24"/>
        </w:rPr>
        <w:t>00351</w:t>
      </w:r>
      <w:r w:rsidR="00E31907">
        <w:rPr>
          <w:rFonts w:ascii="Palatino Linotype" w:hAnsi="Palatino Linotype" w:cs="Arial"/>
          <w:b/>
          <w:sz w:val="24"/>
          <w:szCs w:val="24"/>
        </w:rPr>
        <w:t>/HUIXQUIL/IP/2018</w:t>
      </w:r>
      <w:r w:rsidR="00D3032D">
        <w:rPr>
          <w:rFonts w:ascii="Palatino Linotype" w:hAnsi="Palatino Linotype" w:cs="Arial"/>
          <w:b/>
          <w:sz w:val="24"/>
          <w:szCs w:val="24"/>
        </w:rPr>
        <w:t>.</w:t>
      </w:r>
    </w:p>
    <w:p w:rsidR="00DA5B01" w:rsidRDefault="003A425E" w:rsidP="00001CB1">
      <w:pPr>
        <w:spacing w:before="240" w:after="24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No obstante, </w:t>
      </w:r>
      <w:r w:rsidR="00001CB1">
        <w:rPr>
          <w:rFonts w:ascii="Palatino Linotype" w:eastAsia="MS Mincho" w:hAnsi="Palatino Linotype" w:cs="Times New Roman"/>
          <w:sz w:val="24"/>
          <w:szCs w:val="24"/>
          <w:lang w:val="es-ES_tradnl" w:eastAsia="es-ES"/>
        </w:rPr>
        <w:t>el Sujeto Obligado modificó su respuesta</w:t>
      </w:r>
      <w:r w:rsidR="00D3032D">
        <w:rPr>
          <w:rFonts w:ascii="Palatino Linotype" w:eastAsia="MS Mincho" w:hAnsi="Palatino Linotype" w:cs="Times New Roman"/>
          <w:sz w:val="24"/>
          <w:szCs w:val="24"/>
          <w:lang w:val="es-ES_tradnl" w:eastAsia="es-ES"/>
        </w:rPr>
        <w:t xml:space="preserve"> otorgada en la solicitud </w:t>
      </w:r>
      <w:r w:rsidR="00D3032D">
        <w:rPr>
          <w:rFonts w:ascii="Palatino Linotype" w:hAnsi="Palatino Linotype" w:cs="Arial"/>
          <w:b/>
          <w:sz w:val="24"/>
          <w:szCs w:val="24"/>
        </w:rPr>
        <w:t>00352/HUIXQUIL/IP/2018</w:t>
      </w:r>
      <w:r w:rsidR="00001CB1">
        <w:rPr>
          <w:rFonts w:ascii="Palatino Linotype" w:eastAsia="MS Mincho" w:hAnsi="Palatino Linotype" w:cs="Times New Roman"/>
          <w:sz w:val="24"/>
          <w:szCs w:val="24"/>
          <w:lang w:val="es-ES_tradnl" w:eastAsia="es-ES"/>
        </w:rPr>
        <w:t xml:space="preserve">, </w:t>
      </w:r>
      <w:r w:rsidR="00D3032D">
        <w:rPr>
          <w:rFonts w:ascii="Palatino Linotype" w:eastAsia="MS Mincho" w:hAnsi="Palatino Linotype" w:cs="Times New Roman"/>
          <w:sz w:val="24"/>
          <w:szCs w:val="24"/>
          <w:lang w:val="es-ES_tradnl" w:eastAsia="es-ES"/>
        </w:rPr>
        <w:t xml:space="preserve">a través de la información enviada a la ponencia resolutoria en alcance al informe justificado, razón por la cual se sobresee el recurso de revisión número </w:t>
      </w:r>
      <w:r w:rsidR="00D3032D" w:rsidRPr="00DE7A21">
        <w:rPr>
          <w:rFonts w:ascii="Palatino Linotype" w:hAnsi="Palatino Linotype"/>
          <w:sz w:val="24"/>
          <w:szCs w:val="24"/>
        </w:rPr>
        <w:t>0</w:t>
      </w:r>
      <w:r w:rsidR="00D3032D">
        <w:rPr>
          <w:rFonts w:ascii="Palatino Linotype" w:hAnsi="Palatino Linotype"/>
          <w:sz w:val="24"/>
          <w:szCs w:val="24"/>
        </w:rPr>
        <w:t>3921</w:t>
      </w:r>
      <w:r w:rsidR="00D3032D" w:rsidRPr="00DE7A21">
        <w:rPr>
          <w:rFonts w:ascii="Palatino Linotype" w:hAnsi="Palatino Linotype"/>
          <w:sz w:val="24"/>
          <w:szCs w:val="24"/>
        </w:rPr>
        <w:t>/INFOEM/IP/RR/2017</w:t>
      </w:r>
      <w:r w:rsidR="00D3032D">
        <w:rPr>
          <w:rFonts w:ascii="Palatino Linotype" w:hAnsi="Palatino Linotype"/>
          <w:sz w:val="24"/>
          <w:szCs w:val="24"/>
        </w:rPr>
        <w:t>.</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Al respecto, es pertinente mencionar que si bien el suscrito coincido en términos</w:t>
      </w:r>
      <w:r w:rsidR="001F6B13">
        <w:rPr>
          <w:rFonts w:ascii="Palatino Linotype" w:hAnsi="Palatino Linotype"/>
          <w:sz w:val="24"/>
          <w:szCs w:val="24"/>
        </w:rPr>
        <w:t xml:space="preserve"> </w:t>
      </w:r>
      <w:r w:rsidRPr="001714A3">
        <w:rPr>
          <w:rFonts w:ascii="Palatino Linotype" w:hAnsi="Palatino Linotype"/>
          <w:sz w:val="24"/>
          <w:szCs w:val="24"/>
        </w:rPr>
        <w:t xml:space="preserve">generales con la resolución en </w:t>
      </w:r>
      <w:r w:rsidR="00603DF9" w:rsidRPr="001714A3">
        <w:rPr>
          <w:rFonts w:ascii="Palatino Linotype" w:hAnsi="Palatino Linotype"/>
          <w:sz w:val="24"/>
          <w:szCs w:val="24"/>
        </w:rPr>
        <w:t>cuanto al</w:t>
      </w:r>
      <w:r w:rsidRPr="001714A3">
        <w:rPr>
          <w:rFonts w:ascii="Palatino Linotype" w:hAnsi="Palatino Linotype"/>
          <w:sz w:val="24"/>
          <w:szCs w:val="24"/>
        </w:rPr>
        <w:t xml:space="preserve"> estudio de la misma, difiero particularmente en lo referente al </w:t>
      </w:r>
      <w:r w:rsidR="00D3032D">
        <w:rPr>
          <w:rFonts w:ascii="Palatino Linotype" w:hAnsi="Palatino Linotype"/>
          <w:sz w:val="24"/>
          <w:szCs w:val="24"/>
        </w:rPr>
        <w:t>inciso “d</w:t>
      </w:r>
      <w:r w:rsidR="00FF01C8">
        <w:rPr>
          <w:rFonts w:ascii="Palatino Linotype" w:hAnsi="Palatino Linotype"/>
          <w:sz w:val="24"/>
          <w:szCs w:val="24"/>
        </w:rPr>
        <w:t xml:space="preserve">” </w:t>
      </w:r>
      <w:r w:rsidRPr="001714A3">
        <w:rPr>
          <w:rFonts w:ascii="Palatino Linotype" w:hAnsi="Palatino Linotype"/>
          <w:sz w:val="24"/>
          <w:szCs w:val="24"/>
        </w:rPr>
        <w:t xml:space="preserve">del Resolutivo Segundo. </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Lo anterior en razón de que se ordenó al Sujeto Obligado entregar diversos documentos, entre ellos, el Certificado de </w:t>
      </w:r>
      <w:r w:rsidR="00FF5561">
        <w:rPr>
          <w:rFonts w:ascii="Palatino Linotype" w:hAnsi="Palatino Linotype"/>
          <w:sz w:val="24"/>
          <w:szCs w:val="24"/>
        </w:rPr>
        <w:t>a</w:t>
      </w:r>
      <w:r w:rsidRPr="001714A3">
        <w:rPr>
          <w:rFonts w:ascii="Palatino Linotype" w:hAnsi="Palatino Linotype"/>
          <w:sz w:val="24"/>
          <w:szCs w:val="24"/>
        </w:rPr>
        <w:t>ntecedentes</w:t>
      </w:r>
      <w:r w:rsidR="00FF5561">
        <w:rPr>
          <w:rFonts w:ascii="Palatino Linotype" w:hAnsi="Palatino Linotype"/>
          <w:sz w:val="24"/>
          <w:szCs w:val="24"/>
        </w:rPr>
        <w:t xml:space="preserve"> no pe</w:t>
      </w:r>
      <w:r w:rsidRPr="001714A3">
        <w:rPr>
          <w:rFonts w:ascii="Palatino Linotype" w:hAnsi="Palatino Linotype"/>
          <w:sz w:val="24"/>
          <w:szCs w:val="24"/>
        </w:rPr>
        <w:t>nales,</w:t>
      </w:r>
      <w:r w:rsidR="00FF5561">
        <w:rPr>
          <w:rFonts w:ascii="Palatino Linotype" w:hAnsi="Palatino Linotype"/>
          <w:sz w:val="24"/>
          <w:szCs w:val="24"/>
        </w:rPr>
        <w:t xml:space="preserve"> de</w:t>
      </w:r>
      <w:r w:rsidR="00D3032D">
        <w:rPr>
          <w:rFonts w:ascii="Palatino Linotype" w:hAnsi="Palatino Linotype"/>
          <w:sz w:val="24"/>
          <w:szCs w:val="24"/>
        </w:rPr>
        <w:t xml:space="preserve">l </w:t>
      </w:r>
      <w:r w:rsidR="00D3032D">
        <w:rPr>
          <w:rFonts w:ascii="Palatino Linotype" w:hAnsi="Palatino Linotype"/>
          <w:color w:val="000000"/>
          <w:sz w:val="24"/>
          <w:szCs w:val="24"/>
        </w:rPr>
        <w:t>Titular de la Unidad d</w:t>
      </w:r>
      <w:r w:rsidR="00D3032D" w:rsidRPr="00D3032D">
        <w:rPr>
          <w:rFonts w:ascii="Palatino Linotype" w:hAnsi="Palatino Linotype"/>
          <w:color w:val="000000"/>
          <w:sz w:val="24"/>
          <w:szCs w:val="24"/>
        </w:rPr>
        <w:t>e Transparencia</w:t>
      </w:r>
      <w:r w:rsidR="00D3032D">
        <w:rPr>
          <w:rFonts w:ascii="Palatino Linotype" w:hAnsi="Palatino Linotype"/>
          <w:sz w:val="24"/>
          <w:szCs w:val="24"/>
        </w:rPr>
        <w:t xml:space="preserve"> del Sujeto Obligado</w:t>
      </w:r>
      <w:r w:rsidR="00603DF9">
        <w:rPr>
          <w:rFonts w:ascii="Palatino Linotype" w:hAnsi="Palatino Linotype"/>
          <w:sz w:val="24"/>
          <w:szCs w:val="24"/>
        </w:rPr>
        <w:t xml:space="preserve">; </w:t>
      </w:r>
      <w:r w:rsidR="00603DF9" w:rsidRPr="001714A3">
        <w:rPr>
          <w:rFonts w:ascii="Palatino Linotype" w:hAnsi="Palatino Linotype"/>
          <w:sz w:val="24"/>
          <w:szCs w:val="24"/>
        </w:rPr>
        <w:t>documento</w:t>
      </w:r>
      <w:r w:rsidRPr="001714A3">
        <w:rPr>
          <w:rFonts w:ascii="Palatino Linotype" w:hAnsi="Palatino Linotype"/>
          <w:sz w:val="24"/>
          <w:szCs w:val="24"/>
        </w:rPr>
        <w:t xml:space="preserve"> que considero no debe ser entregado, sino por el contrario, </w:t>
      </w:r>
      <w:r w:rsidR="00603DF9" w:rsidRPr="001714A3">
        <w:rPr>
          <w:rFonts w:ascii="Palatino Linotype" w:hAnsi="Palatino Linotype"/>
          <w:sz w:val="24"/>
          <w:szCs w:val="24"/>
        </w:rPr>
        <w:t>deberá clasificarse</w:t>
      </w:r>
      <w:r w:rsidR="00603DF9">
        <w:rPr>
          <w:rFonts w:ascii="Palatino Linotype" w:hAnsi="Palatino Linotype"/>
          <w:sz w:val="24"/>
          <w:szCs w:val="24"/>
        </w:rPr>
        <w:t xml:space="preserve"> como</w:t>
      </w:r>
      <w:r w:rsidR="00FF5561">
        <w:rPr>
          <w:rFonts w:ascii="Palatino Linotype" w:hAnsi="Palatino Linotype"/>
          <w:sz w:val="24"/>
          <w:szCs w:val="24"/>
        </w:rPr>
        <w:t xml:space="preserve"> confidencial </w:t>
      </w:r>
      <w:r w:rsidRPr="001714A3">
        <w:rPr>
          <w:rFonts w:ascii="Palatino Linotype" w:hAnsi="Palatino Linotype"/>
          <w:sz w:val="24"/>
          <w:szCs w:val="24"/>
        </w:rPr>
        <w:t>en atención a los siguientes argumentos:</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lastRenderedPageBreak/>
        <w:t>En el caso concreto, es pertinente conocer cómo se integran los expedientes de ingreso de los servidores públicos para conocer cuáles son los documentos que los conforman, y si entre ellos el certificado de antecedentes no penales es considerado un requisito que debe presentarse para que de este modo se encuentre ba</w:t>
      </w:r>
      <w:r w:rsidR="00D3032D">
        <w:rPr>
          <w:rFonts w:ascii="Palatino Linotype" w:hAnsi="Palatino Linotype"/>
          <w:sz w:val="24"/>
          <w:szCs w:val="24"/>
        </w:rPr>
        <w:t>jo resguardo de una autoridad.</w:t>
      </w:r>
    </w:p>
    <w:p w:rsidR="001714A3" w:rsidRPr="001714A3" w:rsidRDefault="001714A3" w:rsidP="001714A3">
      <w:pPr>
        <w:spacing w:before="240" w:after="240" w:line="360" w:lineRule="auto"/>
        <w:jc w:val="both"/>
        <w:rPr>
          <w:rFonts w:ascii="Palatino Linotype" w:hAnsi="Palatino Linotype"/>
          <w:sz w:val="24"/>
          <w:szCs w:val="24"/>
        </w:rPr>
      </w:pPr>
      <w:r w:rsidRPr="00E03023">
        <w:rPr>
          <w:rFonts w:ascii="Palatino Linotype" w:hAnsi="Palatino Linotype"/>
          <w:sz w:val="24"/>
          <w:szCs w:val="24"/>
        </w:rPr>
        <w:t>En este sentido, el Manual de Normas y Procedimientos de Desarrollo y Administración de Personal en el Procedimiento 021 “ALTA DE SERVIDORES PÚBLICOS GENERALES Y DE CONFIANZA” establece en las normas 20301/021-01 y 20301/021-11, lo siguiente:</w:t>
      </w:r>
    </w:p>
    <w:p w:rsidR="00685966" w:rsidRDefault="001714A3" w:rsidP="00685966">
      <w:pPr>
        <w:spacing w:before="240" w:after="240" w:line="240" w:lineRule="auto"/>
        <w:ind w:left="851" w:right="992"/>
        <w:contextualSpacing/>
        <w:jc w:val="both"/>
        <w:rPr>
          <w:rFonts w:ascii="Palatino Linotype" w:hAnsi="Palatino Linotype"/>
          <w:i/>
        </w:rPr>
      </w:pPr>
      <w:r w:rsidRPr="00E03023">
        <w:rPr>
          <w:rFonts w:ascii="Palatino Linotype" w:hAnsi="Palatino Linotype"/>
          <w:i/>
        </w:rPr>
        <w:t>“20301/021-01 Es política del Gobierno del Estado de México no hacer discriminación alguna para el ingreso de servidores públicos, por motivo de sexo, credo religioso, edad, raza o filiación política</w:t>
      </w:r>
      <w:r w:rsidR="00D3032D" w:rsidRPr="00E03023">
        <w:rPr>
          <w:rFonts w:ascii="Palatino Linotype" w:hAnsi="Palatino Linotype"/>
          <w:i/>
        </w:rPr>
        <w:t>,…”</w:t>
      </w:r>
    </w:p>
    <w:p w:rsidR="001714A3" w:rsidRPr="00E03023" w:rsidRDefault="001714A3" w:rsidP="00685966">
      <w:pPr>
        <w:spacing w:before="240" w:after="240" w:line="240" w:lineRule="auto"/>
        <w:ind w:left="851" w:right="992"/>
        <w:contextualSpacing/>
        <w:jc w:val="both"/>
        <w:rPr>
          <w:rFonts w:ascii="Palatino Linotype" w:hAnsi="Palatino Linotype"/>
          <w:i/>
        </w:rPr>
      </w:pPr>
      <w:r w:rsidRPr="00E03023">
        <w:rPr>
          <w:rFonts w:ascii="Palatino Linotype" w:hAnsi="Palatino Linotype"/>
          <w:i/>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De los preceptos legales en comento, se colige que para ingresar al servicio público en el Estado de México, entre otros documentos, se requiere la presentación del Certificado de No Antecedentes Penales.</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lastRenderedPageBreak/>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rsidR="001714A3" w:rsidRDefault="001714A3" w:rsidP="007E75F7">
      <w:pPr>
        <w:spacing w:after="0" w:line="240" w:lineRule="auto"/>
        <w:ind w:left="851" w:right="990"/>
        <w:jc w:val="both"/>
        <w:rPr>
          <w:rFonts w:ascii="Palatino Linotype" w:hAnsi="Palatino Linotype"/>
        </w:rPr>
      </w:pPr>
      <w:r w:rsidRPr="00E03023">
        <w:rPr>
          <w:rFonts w:ascii="Palatino Linotype" w:hAnsi="Palatino Linotype"/>
          <w:i/>
        </w:rPr>
        <w:t>“</w:t>
      </w:r>
      <w:r w:rsidRPr="00E03023">
        <w:rPr>
          <w:rFonts w:ascii="Palatino Linotype" w:hAnsi="Palatino Linotype"/>
          <w:b/>
          <w:i/>
        </w:rPr>
        <w:t>CUARTO</w:t>
      </w:r>
      <w:r w:rsidRPr="00E03023">
        <w:rPr>
          <w:rFonts w:ascii="Palatino Linotype" w:hAnsi="Palatino Linotype"/>
          <w:i/>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E03023">
        <w:rPr>
          <w:rFonts w:ascii="Palatino Linotype" w:hAnsi="Palatino Linotype"/>
        </w:rPr>
        <w:t>.</w:t>
      </w:r>
      <w:r w:rsidR="00335B29">
        <w:rPr>
          <w:rFonts w:ascii="Palatino Linotype" w:hAnsi="Palatino Linotype"/>
        </w:rPr>
        <w:t>”</w:t>
      </w:r>
    </w:p>
    <w:p w:rsidR="001714A3" w:rsidRPr="00E03023" w:rsidRDefault="001714A3" w:rsidP="007E75F7">
      <w:pPr>
        <w:spacing w:after="0" w:line="240" w:lineRule="auto"/>
        <w:ind w:left="851" w:right="990"/>
        <w:jc w:val="both"/>
        <w:rPr>
          <w:rFonts w:ascii="Palatino Linotype" w:hAnsi="Palatino Linotype"/>
          <w:i/>
        </w:rPr>
      </w:pPr>
      <w:r w:rsidRPr="00E03023">
        <w:rPr>
          <w:rFonts w:ascii="Palatino Linotype" w:hAnsi="Palatino Linotype"/>
          <w:i/>
        </w:rPr>
        <w:t>“</w:t>
      </w:r>
      <w:r w:rsidRPr="00E03023">
        <w:rPr>
          <w:rFonts w:ascii="Palatino Linotype" w:hAnsi="Palatino Linotype"/>
          <w:b/>
          <w:i/>
        </w:rPr>
        <w:t>SÉPTIMO</w:t>
      </w:r>
      <w:r w:rsidRPr="00E03023">
        <w:rPr>
          <w:rFonts w:ascii="Palatino Linotype" w:hAnsi="Palatino Linotype"/>
          <w:i/>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rsidR="001714A3" w:rsidRPr="00E03023" w:rsidRDefault="001714A3" w:rsidP="007E75F7">
      <w:pPr>
        <w:spacing w:after="0" w:line="240" w:lineRule="auto"/>
        <w:ind w:left="851" w:right="990"/>
        <w:jc w:val="both"/>
        <w:rPr>
          <w:rFonts w:ascii="Palatino Linotype" w:hAnsi="Palatino Linotype"/>
          <w:i/>
        </w:rPr>
      </w:pPr>
      <w:r w:rsidRPr="00E03023">
        <w:rPr>
          <w:rFonts w:ascii="Palatino Linotype" w:hAnsi="Palatino Linotype"/>
          <w:i/>
        </w:rPr>
        <w:t>Realizar el pago de derechos por la expedición del Certificado de No Antecedentes Penales de la forma que a continuación se indica:</w:t>
      </w:r>
    </w:p>
    <w:p w:rsidR="00E03023" w:rsidRPr="00E03023" w:rsidRDefault="001714A3" w:rsidP="007E75F7">
      <w:pPr>
        <w:pStyle w:val="Prrafodelista"/>
        <w:numPr>
          <w:ilvl w:val="0"/>
          <w:numId w:val="14"/>
        </w:numPr>
        <w:ind w:left="851" w:right="990"/>
        <w:jc w:val="both"/>
        <w:rPr>
          <w:rFonts w:ascii="Palatino Linotype" w:hAnsi="Palatino Linotype" w:cs="Arial"/>
          <w:i/>
          <w:sz w:val="22"/>
          <w:szCs w:val="22"/>
        </w:rPr>
      </w:pPr>
      <w:r w:rsidRPr="00E03023">
        <w:rPr>
          <w:rFonts w:ascii="Palatino Linotype" w:hAnsi="Palatino Linotype"/>
          <w:sz w:val="22"/>
          <w:szCs w:val="22"/>
        </w:rPr>
        <w:t xml:space="preserve"> </w:t>
      </w:r>
      <w:r w:rsidR="00E03023" w:rsidRPr="00E03023">
        <w:rPr>
          <w:rFonts w:ascii="Palatino Linotype" w:hAnsi="Palatino Linotype" w:cs="Arial"/>
          <w:i/>
          <w:sz w:val="22"/>
          <w:szCs w:val="22"/>
        </w:rPr>
        <w:t>Ingresar a la página electrónica www.edomex.gob.mx: Hacer "</w:t>
      </w:r>
      <w:proofErr w:type="spellStart"/>
      <w:r w:rsidR="00E03023" w:rsidRPr="00E03023">
        <w:rPr>
          <w:rFonts w:ascii="Palatino Linotype" w:hAnsi="Palatino Linotype" w:cs="Arial"/>
          <w:i/>
          <w:sz w:val="22"/>
          <w:szCs w:val="22"/>
        </w:rPr>
        <w:t>click</w:t>
      </w:r>
      <w:proofErr w:type="spellEnd"/>
      <w:r w:rsidR="00E03023" w:rsidRPr="00E03023">
        <w:rPr>
          <w:rFonts w:ascii="Palatino Linotype" w:hAnsi="Palatino Linotype" w:cs="Arial"/>
          <w:i/>
          <w:sz w:val="22"/>
          <w:szCs w:val="22"/>
        </w:rPr>
        <w:t xml:space="preserve"> en el botón "Portal de Servicios al Contribuyente, Pagos Electrónicos"; </w:t>
      </w:r>
    </w:p>
    <w:p w:rsidR="00E03023" w:rsidRPr="00E03023" w:rsidRDefault="00E03023" w:rsidP="007E75F7">
      <w:pPr>
        <w:numPr>
          <w:ilvl w:val="0"/>
          <w:numId w:val="14"/>
        </w:numPr>
        <w:spacing w:after="0" w:line="240" w:lineRule="auto"/>
        <w:ind w:left="85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Hacer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en el botón "Derechos" y a continuación en "No Antecedentes Penales"; Llenar el "Formulario de Pago Estatal Procuraduría", e. imprimir el formulario y acudir a realizar el pago en cualquiera de las instituciones bancarias señaladas en el mismo.</w:t>
      </w:r>
    </w:p>
    <w:p w:rsidR="00E03023" w:rsidRPr="00E03023" w:rsidRDefault="00E03023" w:rsidP="007E75F7">
      <w:pPr>
        <w:numPr>
          <w:ilvl w:val="0"/>
          <w:numId w:val="14"/>
        </w:numPr>
        <w:spacing w:after="0" w:line="240" w:lineRule="auto"/>
        <w:ind w:left="85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 Hecho el pago de derechos, ingresar a la página www.eciornex.dob.mx/pgiern y proceder como sigue: Hacer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en el botón "Expedición de Certificado de No Antecedentes Penales" y llenar el Formato correspondiente; dar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xml:space="preserve">" en el botón "Siguiente" y aparecerá un comprobante de registro en línea, generando una clave del trámite un número de folio, el cual deberá imprimirse., el interesado se podrá presentar en las oficinas del Instituto de Servicios Periciales de su </w:t>
      </w:r>
      <w:r w:rsidRPr="00E03023">
        <w:rPr>
          <w:rFonts w:ascii="Palatino Linotype" w:eastAsia="Calibri" w:hAnsi="Palatino Linotype" w:cs="Arial"/>
          <w:i/>
          <w:lang w:val="es-ES" w:eastAsia="es-ES"/>
        </w:rPr>
        <w:lastRenderedPageBreak/>
        <w:t xml:space="preserve">elección, en días hábiles, en un horario de 09:00 a 18:00 horas, exhibiendo el comprobante de registro en línea. </w:t>
      </w:r>
      <w:r>
        <w:rPr>
          <w:rFonts w:ascii="Palatino Linotype" w:eastAsia="Calibri" w:hAnsi="Palatino Linotype" w:cs="Arial"/>
          <w:i/>
          <w:lang w:val="es-ES" w:eastAsia="es-ES"/>
        </w:rPr>
        <w:t>“</w:t>
      </w:r>
    </w:p>
    <w:p w:rsidR="00E03023" w:rsidRPr="00E03023" w:rsidRDefault="00E03023" w:rsidP="007E75F7">
      <w:pPr>
        <w:spacing w:after="0" w:line="240" w:lineRule="auto"/>
        <w:ind w:left="851" w:right="990"/>
        <w:jc w:val="both"/>
        <w:rPr>
          <w:rFonts w:ascii="Palatino Linotype" w:hAnsi="Palatino Linotype" w:cs="Arial"/>
          <w:i/>
        </w:rPr>
      </w:pPr>
      <w:r w:rsidRPr="00E03023">
        <w:rPr>
          <w:rFonts w:ascii="Palatino Linotype" w:hAnsi="Palatino Linotype" w:cs="Arial"/>
          <w:i/>
        </w:rPr>
        <w:t>“</w:t>
      </w:r>
      <w:r w:rsidRPr="00E03023">
        <w:rPr>
          <w:rFonts w:ascii="Palatino Linotype" w:hAnsi="Palatino Linotype" w:cs="Arial"/>
          <w:b/>
          <w:i/>
        </w:rPr>
        <w:t>OCTAVO.</w:t>
      </w:r>
      <w:r w:rsidRPr="00E03023">
        <w:rPr>
          <w:rFonts w:ascii="Palatino Linotype" w:hAnsi="Palatino Linotype" w:cs="Arial"/>
          <w:i/>
        </w:rPr>
        <w:t xml:space="preserve"> El Instituto de Servicios Periciales expedirá </w:t>
      </w:r>
      <w:r w:rsidRPr="00E03023">
        <w:rPr>
          <w:rFonts w:ascii="Palatino Linotype" w:hAnsi="Palatino Linotype" w:cs="Arial"/>
          <w:b/>
          <w:i/>
        </w:rPr>
        <w:t>un Informe</w:t>
      </w:r>
      <w:r w:rsidRPr="00E03023">
        <w:rPr>
          <w:rFonts w:ascii="Palatino Linotype" w:hAnsi="Palatino Linotype" w:cs="Arial"/>
          <w:i/>
        </w:rPr>
        <w:t xml:space="preserve">, a través de medios electrónicos, cuyo trámite será gratuito. Para tal efecto, el interesado deberá ingresar a la página electrónica www.edomex.gob.mx/pcliem y realizar lo siguiente: </w:t>
      </w:r>
    </w:p>
    <w:p w:rsidR="00E03023" w:rsidRPr="00E03023" w:rsidRDefault="00E03023" w:rsidP="007E75F7">
      <w:pPr>
        <w:numPr>
          <w:ilvl w:val="0"/>
          <w:numId w:val="11"/>
        </w:numPr>
        <w:spacing w:after="0" w:line="240" w:lineRule="auto"/>
        <w:ind w:left="1418" w:right="990" w:hanging="426"/>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Llenar el Formato con los siguientes datos: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Nombre;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Apellido Paterno;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Apellido Materno;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Fecha de Nacimiento (</w:t>
      </w:r>
      <w:proofErr w:type="spellStart"/>
      <w:r w:rsidRPr="00E03023">
        <w:rPr>
          <w:rFonts w:ascii="Palatino Linotype" w:eastAsia="Calibri" w:hAnsi="Palatino Linotype" w:cs="Arial"/>
          <w:i/>
          <w:lang w:val="es-ES" w:eastAsia="es-ES"/>
        </w:rPr>
        <w:t>dd</w:t>
      </w:r>
      <w:proofErr w:type="spellEnd"/>
      <w:r w:rsidRPr="00E03023">
        <w:rPr>
          <w:rFonts w:ascii="Palatino Linotype" w:eastAsia="Calibri" w:hAnsi="Palatino Linotype" w:cs="Arial"/>
          <w:i/>
          <w:lang w:val="es-ES" w:eastAsia="es-ES"/>
        </w:rPr>
        <w:t>/mm/</w:t>
      </w:r>
      <w:proofErr w:type="spellStart"/>
      <w:r w:rsidRPr="00E03023">
        <w:rPr>
          <w:rFonts w:ascii="Palatino Linotype" w:eastAsia="Calibri" w:hAnsi="Palatino Linotype" w:cs="Arial"/>
          <w:i/>
          <w:lang w:val="es-ES" w:eastAsia="es-ES"/>
        </w:rPr>
        <w:t>aaaa</w:t>
      </w:r>
      <w:proofErr w:type="spellEnd"/>
      <w:r w:rsidRPr="00E03023">
        <w:rPr>
          <w:rFonts w:ascii="Palatino Linotype" w:eastAsia="Calibri" w:hAnsi="Palatino Linotype" w:cs="Arial"/>
          <w:i/>
          <w:lang w:val="es-ES" w:eastAsia="es-ES"/>
        </w:rPr>
        <w:t>):</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Registro Federal de Contribuyentes (RFC);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Clave Única de Registro de Población (CURP);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Número de folio de la identificación: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Teléfono fijo y móvil;</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Correo Electrónico,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Domicilio, que contendrá: Calle, número exterior, número interior, Colonia, Código Postal y Municipio dentro del Estado de México. </w:t>
      </w:r>
    </w:p>
    <w:p w:rsid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rsidR="00E03023" w:rsidRPr="00E03023" w:rsidRDefault="00E03023" w:rsidP="007E75F7">
      <w:pPr>
        <w:numPr>
          <w:ilvl w:val="0"/>
          <w:numId w:val="11"/>
        </w:numPr>
        <w:spacing w:after="0" w:line="240" w:lineRule="auto"/>
        <w:ind w:left="1134"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Dar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rsidR="00E03023" w:rsidRPr="00E03023" w:rsidRDefault="00E03023" w:rsidP="007E75F7">
      <w:pPr>
        <w:spacing w:after="0" w:line="240" w:lineRule="auto"/>
        <w:ind w:left="851" w:right="990"/>
        <w:jc w:val="both"/>
        <w:rPr>
          <w:rFonts w:ascii="Palatino Linotype" w:hAnsi="Palatino Linotype" w:cs="Arial"/>
          <w:i/>
        </w:rPr>
      </w:pPr>
      <w:r w:rsidRPr="00E03023">
        <w:rPr>
          <w:rFonts w:ascii="Palatino Linotype" w:hAnsi="Palatino Linotype" w:cs="Arial"/>
          <w:b/>
          <w:i/>
        </w:rPr>
        <w:t>NOVENO</w:t>
      </w:r>
      <w:r w:rsidRPr="00E03023">
        <w:rPr>
          <w:rFonts w:ascii="Palatino Linotype" w:hAnsi="Palatino Linotype" w:cs="Arial"/>
          <w:i/>
        </w:rPr>
        <w:t xml:space="preserve">. El Informe será emitido únicamente en relación con los </w:t>
      </w:r>
      <w:r w:rsidRPr="00E03023">
        <w:rPr>
          <w:rFonts w:ascii="Palatino Linotype" w:hAnsi="Palatino Linotype" w:cs="Arial"/>
          <w:i/>
          <w:u w:val="single"/>
        </w:rPr>
        <w:t>datos proporcionados por el interesado</w:t>
      </w:r>
      <w:r w:rsidRPr="00E03023">
        <w:rPr>
          <w:rFonts w:ascii="Palatino Linotype" w:hAnsi="Palatino Linotype" w:cs="Arial"/>
          <w:i/>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r>
        <w:rPr>
          <w:rFonts w:ascii="Palatino Linotype" w:hAnsi="Palatino Linotype" w:cs="Arial"/>
          <w:i/>
        </w:rPr>
        <w:t>”</w:t>
      </w:r>
      <w:r w:rsidR="00685966">
        <w:rPr>
          <w:rFonts w:ascii="Palatino Linotype" w:hAnsi="Palatino Linotype" w:cs="Arial"/>
          <w:i/>
        </w:rPr>
        <w:t>(Sic)</w:t>
      </w:r>
    </w:p>
    <w:p w:rsidR="00851C53" w:rsidRPr="00851C53" w:rsidRDefault="001714A3" w:rsidP="00851C53">
      <w:pPr>
        <w:spacing w:before="240" w:after="240" w:line="360" w:lineRule="auto"/>
        <w:jc w:val="both"/>
        <w:rPr>
          <w:rFonts w:ascii="Palatino Linotype" w:hAnsi="Palatino Linotype" w:cs="Arial"/>
          <w:sz w:val="24"/>
        </w:rPr>
      </w:pPr>
      <w:r w:rsidRPr="001714A3">
        <w:rPr>
          <w:rFonts w:ascii="Palatino Linotype" w:hAnsi="Palatino Linotype"/>
          <w:sz w:val="24"/>
          <w:szCs w:val="24"/>
        </w:rPr>
        <w:lastRenderedPageBreak/>
        <w:t xml:space="preserve">De lo anterior se desprende que para expedir el certificado de antecedentes no penales o el informe respectivo, el Instituto de Servicios Periciales recabará los datos personales del interesado, de lo que resulta evidente que el certificado </w:t>
      </w:r>
      <w:r w:rsidR="00D3032D">
        <w:rPr>
          <w:rFonts w:ascii="Palatino Linotype" w:hAnsi="Palatino Linotype"/>
          <w:sz w:val="24"/>
          <w:szCs w:val="24"/>
        </w:rPr>
        <w:t>multireferido</w:t>
      </w:r>
      <w:r w:rsidRPr="001714A3">
        <w:rPr>
          <w:rFonts w:ascii="Palatino Linotype" w:hAnsi="Palatino Linotype"/>
          <w:sz w:val="24"/>
          <w:szCs w:val="24"/>
        </w:rPr>
        <w:t xml:space="preserve"> contiene datos que resultan de carácter confidencial, como lo es la fotografía de un servidor público lo que constituye un dato personal confidencial en términos de lo dispuesto en el criterio </w:t>
      </w:r>
      <w:r w:rsidR="00851C53" w:rsidRPr="00851C53">
        <w:rPr>
          <w:rFonts w:ascii="Palatino Linotype" w:hAnsi="Palatino Linotype" w:cs="Arial"/>
          <w:sz w:val="24"/>
        </w:rPr>
        <w:t>5/09</w:t>
      </w:r>
      <w:r w:rsidR="00851C53" w:rsidRPr="00851C53">
        <w:rPr>
          <w:rFonts w:ascii="Palatino Linotype" w:hAnsi="Palatino Linotype" w:cs="Arial"/>
          <w:sz w:val="24"/>
          <w:vertAlign w:val="superscript"/>
        </w:rPr>
        <w:footnoteReference w:id="1"/>
      </w:r>
      <w:r w:rsidR="00851C53" w:rsidRPr="00851C53">
        <w:rPr>
          <w:rFonts w:ascii="Palatino Linotype" w:hAnsi="Palatino Linotype" w:cs="Arial"/>
          <w:sz w:val="24"/>
        </w:rPr>
        <w:t>, del entonces IFAI ahora INAI, en el artículo 143, fracción I de la Ley de Transparencia y Acceso a la Información Pública del</w:t>
      </w:r>
      <w:r w:rsidR="00851C53" w:rsidRPr="00851C53">
        <w:rPr>
          <w:rFonts w:ascii="Palatino Linotype" w:eastAsia="Times New Roman" w:hAnsi="Palatino Linotype" w:cs="Arial"/>
          <w:lang w:eastAsia="es-MX"/>
        </w:rPr>
        <w:t xml:space="preserve"> </w:t>
      </w:r>
      <w:r w:rsidR="00851C53" w:rsidRPr="00851C53">
        <w:rPr>
          <w:rFonts w:ascii="Palatino Linotype" w:hAnsi="Palatino Linotype" w:cs="Arial"/>
          <w:sz w:val="24"/>
        </w:rPr>
        <w:t>Estado de México y Municipios, así como en el artículo 4, fracciones VII y VIII de la Ley de Protección de Datos Personales del Estado de México.</w:t>
      </w:r>
    </w:p>
    <w:p w:rsidR="001714A3" w:rsidRPr="00851C53" w:rsidRDefault="001714A3" w:rsidP="001714A3">
      <w:pPr>
        <w:spacing w:before="240" w:after="240" w:line="360" w:lineRule="auto"/>
        <w:jc w:val="both"/>
        <w:rPr>
          <w:rFonts w:ascii="Palatino Linotype" w:hAnsi="Palatino Linotype"/>
          <w:i/>
          <w:sz w:val="24"/>
          <w:szCs w:val="24"/>
        </w:rPr>
      </w:pPr>
      <w:r w:rsidRPr="001714A3">
        <w:rPr>
          <w:rFonts w:ascii="Palatino Linotype" w:hAnsi="Palatino Linotype"/>
          <w:sz w:val="24"/>
          <w:szCs w:val="24"/>
        </w:rPr>
        <w:t>Por lo que hace al domicilio de una persona física (domicilio particular), conforme a lo dispuesto por el artículo 2.17 del Código Civil del Estado de México, éste “</w:t>
      </w:r>
      <w:r w:rsidRPr="00851C53">
        <w:rPr>
          <w:rFonts w:ascii="Palatino Linotype" w:hAnsi="Palatino Linotype"/>
          <w:i/>
          <w:sz w:val="24"/>
          <w:szCs w:val="24"/>
        </w:rPr>
        <w:t>es el lugar donde reside con el propósito de establecerse en él; a falta de éste, el lugar en que tiene el principal asiento de sus negocios; y a falta de uno y otro, el lugar en que se halle”</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En ese sentido, el dato sobre el domicilio particular es información de carácter confidencial en términos de lo dispuesto por la fracción I del artículo 143 de la Ley de Transparencia y Acceso a la Información Pública de la entidad, así como el artículo 4, fracciones VII y VIII de la Ley de Protección de Datos Personales del Estado de </w:t>
      </w:r>
      <w:r w:rsidRPr="001714A3">
        <w:rPr>
          <w:rFonts w:ascii="Palatino Linotype" w:hAnsi="Palatino Linotype"/>
          <w:sz w:val="24"/>
          <w:szCs w:val="24"/>
        </w:rPr>
        <w:lastRenderedPageBreak/>
        <w:t>México, en virtud de que constituye información que incide en la intimidad de un individuo identificado.</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rsidR="001714A3" w:rsidRPr="00851C53" w:rsidRDefault="001714A3" w:rsidP="007E75F7">
      <w:pPr>
        <w:spacing w:after="0" w:line="240" w:lineRule="auto"/>
        <w:ind w:left="851" w:right="990"/>
        <w:jc w:val="both"/>
        <w:rPr>
          <w:rFonts w:ascii="Palatino Linotype" w:hAnsi="Palatino Linotype"/>
          <w:i/>
        </w:rPr>
      </w:pPr>
      <w:r w:rsidRPr="00851C53">
        <w:rPr>
          <w:rFonts w:ascii="Palatino Linotype" w:hAnsi="Palatino Linotype"/>
          <w:i/>
        </w:rPr>
        <w:t xml:space="preserve">“… </w:t>
      </w:r>
      <w:r w:rsidRPr="00851C53">
        <w:rPr>
          <w:rFonts w:ascii="Palatino Linotype" w:hAnsi="Palatino Linotype"/>
          <w:b/>
          <w:i/>
        </w:rPr>
        <w:t>la constancia de antecedentes penales es el documento expedido por la autoridad competente para acreditar la existencia o inexistencia de delitos cometidos por los individuos y la condena correspondiente</w:t>
      </w:r>
      <w:r w:rsidRPr="00851C53">
        <w:rPr>
          <w:rFonts w:ascii="Palatino Linotype" w:hAnsi="Palatino Linotype"/>
          <w:i/>
        </w:rPr>
        <w:t xml:space="preserve">, en su caso. </w:t>
      </w:r>
      <w:r w:rsidRPr="00851C53">
        <w:rPr>
          <w:rFonts w:ascii="Palatino Linotype" w:hAnsi="Palatino Linotype"/>
          <w:b/>
          <w:i/>
        </w:rPr>
        <w:t>La certificación corresponde a la policía y tiene importancia para determinar la reincidencia</w:t>
      </w:r>
      <w:r w:rsidRPr="00851C53">
        <w:rPr>
          <w:rFonts w:ascii="Palatino Linotype" w:hAnsi="Palatino Linotype"/>
          <w:i/>
        </w:rPr>
        <w:t xml:space="preserve"> (artículo 20 del Código Penal Federal), la habitualidad (artículo 21 del Código Penal Federal) </w:t>
      </w:r>
      <w:r w:rsidRPr="00851C53">
        <w:rPr>
          <w:rFonts w:ascii="Palatino Linotype" w:hAnsi="Palatino Linotype"/>
          <w:b/>
          <w:i/>
        </w:rPr>
        <w:t>y la posibilidad de caución</w:t>
      </w:r>
      <w:r w:rsidRPr="00851C53">
        <w:rPr>
          <w:rFonts w:ascii="Palatino Linotype" w:hAnsi="Palatino Linotype"/>
          <w:i/>
        </w:rPr>
        <w:t xml:space="preserve"> (artículo 402 del Código Federal de Procedimientos Penales), al respecto se precisa que materia de transparencia y acceso a la información, </w:t>
      </w:r>
      <w:r w:rsidRPr="00851C53">
        <w:rPr>
          <w:rFonts w:ascii="Palatino Linotype" w:hAnsi="Palatino Linotype"/>
          <w:i/>
          <w:u w:val="single"/>
        </w:rPr>
        <w:t xml:space="preserve">este acto jurídico </w:t>
      </w:r>
      <w:r w:rsidRPr="00851C53">
        <w:rPr>
          <w:rFonts w:ascii="Palatino Linotype" w:hAnsi="Palatino Linotype"/>
          <w:i/>
          <w:u w:val="single"/>
        </w:rPr>
        <w:lastRenderedPageBreak/>
        <w:t>contiene información confidencial pues se refiere a datos personales de particulares</w:t>
      </w:r>
      <w:r w:rsidRPr="00851C53">
        <w:rPr>
          <w:rFonts w:ascii="Palatino Linotype" w:hAnsi="Palatino Linotype"/>
          <w:i/>
        </w:rPr>
        <w:t xml:space="preserve">. </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En este sentido, de acuerdo al artículo 116 de la Ley General de Trasparencia, debe ser clasificado, por regla general, como confidencial, asimismo en el artículo 143 de la Ley de Transparencia y acceso a la Información Pública del Estado de México y Municipios. </w:t>
      </w:r>
    </w:p>
    <w:p w:rsidR="001714A3" w:rsidRPr="00851C53" w:rsidRDefault="001714A3" w:rsidP="00685966">
      <w:pPr>
        <w:spacing w:before="240" w:after="240" w:line="240" w:lineRule="auto"/>
        <w:ind w:left="851" w:right="992"/>
        <w:contextualSpacing/>
        <w:jc w:val="both"/>
        <w:rPr>
          <w:rFonts w:ascii="Palatino Linotype" w:hAnsi="Palatino Linotype"/>
          <w:i/>
        </w:rPr>
      </w:pPr>
      <w:r w:rsidRPr="00851C53">
        <w:rPr>
          <w:rFonts w:ascii="Palatino Linotype" w:hAnsi="Palatino Linotype"/>
          <w:i/>
        </w:rPr>
        <w:t>“</w:t>
      </w:r>
      <w:r w:rsidRPr="00851C53">
        <w:rPr>
          <w:rFonts w:ascii="Palatino Linotype" w:hAnsi="Palatino Linotype"/>
          <w:b/>
          <w:i/>
        </w:rPr>
        <w:t>Artículo 116</w:t>
      </w:r>
      <w:r w:rsidRPr="00851C53">
        <w:rPr>
          <w:rFonts w:ascii="Palatino Linotype" w:hAnsi="Palatino Linotype"/>
          <w:i/>
        </w:rPr>
        <w:t>. Se considera información confidencial la que contiene datos personales concernientes a una persona identificada o identificable.”</w:t>
      </w:r>
    </w:p>
    <w:p w:rsidR="001714A3" w:rsidRPr="00851C53" w:rsidRDefault="001714A3" w:rsidP="00685966">
      <w:pPr>
        <w:spacing w:before="240" w:after="240" w:line="240" w:lineRule="auto"/>
        <w:ind w:left="851" w:right="992"/>
        <w:contextualSpacing/>
        <w:jc w:val="both"/>
        <w:rPr>
          <w:rFonts w:ascii="Palatino Linotype" w:hAnsi="Palatino Linotype"/>
          <w:i/>
        </w:rPr>
      </w:pPr>
      <w:r w:rsidRPr="00851C53">
        <w:rPr>
          <w:rFonts w:ascii="Palatino Linotype" w:hAnsi="Palatino Linotype"/>
          <w:i/>
        </w:rPr>
        <w:t>“</w:t>
      </w:r>
      <w:r w:rsidRPr="00851C53">
        <w:rPr>
          <w:rFonts w:ascii="Palatino Linotype" w:hAnsi="Palatino Linotype"/>
          <w:b/>
          <w:i/>
        </w:rPr>
        <w:t>Artículo 143</w:t>
      </w:r>
      <w:r w:rsidRPr="00851C53">
        <w:rPr>
          <w:rFonts w:ascii="Palatino Linotype" w:hAnsi="Palatino Linotype"/>
          <w:i/>
        </w:rPr>
        <w:t xml:space="preserve">.- Para los efectos de esta ley se considera información confidencial la clasificada como tal, de manera permanente por su naturaleza cuando: </w:t>
      </w:r>
    </w:p>
    <w:p w:rsidR="001714A3" w:rsidRPr="00851C53" w:rsidRDefault="001714A3" w:rsidP="00685966">
      <w:pPr>
        <w:spacing w:before="240" w:after="240" w:line="240" w:lineRule="auto"/>
        <w:ind w:left="851" w:right="992"/>
        <w:contextualSpacing/>
        <w:jc w:val="both"/>
        <w:rPr>
          <w:rFonts w:ascii="Palatino Linotype" w:hAnsi="Palatino Linotype"/>
          <w:i/>
        </w:rPr>
      </w:pPr>
      <w:r w:rsidRPr="00851C53">
        <w:rPr>
          <w:rFonts w:ascii="Palatino Linotype" w:hAnsi="Palatino Linotype"/>
          <w:i/>
        </w:rPr>
        <w:t xml:space="preserve">Se refiera a la información privada y los datos personales concernientes a una persona física o </w:t>
      </w:r>
      <w:proofErr w:type="gramStart"/>
      <w:r w:rsidRPr="00851C53">
        <w:rPr>
          <w:rFonts w:ascii="Palatino Linotype" w:hAnsi="Palatino Linotype"/>
          <w:i/>
        </w:rPr>
        <w:t>jurídico</w:t>
      </w:r>
      <w:proofErr w:type="gramEnd"/>
      <w:r w:rsidRPr="00851C53">
        <w:rPr>
          <w:rFonts w:ascii="Palatino Linotype" w:hAnsi="Palatino Linotype"/>
          <w:i/>
        </w:rPr>
        <w:t xml:space="preserve"> colectiva identificada o identificable.</w:t>
      </w:r>
    </w:p>
    <w:p w:rsidR="001714A3" w:rsidRPr="00851C53" w:rsidRDefault="001714A3" w:rsidP="00685966">
      <w:pPr>
        <w:spacing w:before="240" w:after="240" w:line="240" w:lineRule="auto"/>
        <w:ind w:left="851" w:right="992"/>
        <w:contextualSpacing/>
        <w:jc w:val="both"/>
        <w:rPr>
          <w:rFonts w:ascii="Palatino Linotype" w:hAnsi="Palatino Linotype"/>
          <w:i/>
        </w:rPr>
      </w:pPr>
      <w:r w:rsidRPr="00851C53">
        <w:rPr>
          <w:rFonts w:ascii="Palatino Linotype" w:hAnsi="Palatino Linotype"/>
          <w:i/>
        </w:rPr>
        <w:t>…”</w:t>
      </w:r>
    </w:p>
    <w:p w:rsidR="00685966" w:rsidRDefault="00685966" w:rsidP="00685966">
      <w:pPr>
        <w:spacing w:before="240" w:after="240" w:line="360" w:lineRule="auto"/>
        <w:contextualSpacing/>
        <w:jc w:val="both"/>
        <w:rPr>
          <w:rFonts w:ascii="Palatino Linotype" w:hAnsi="Palatino Linotype"/>
          <w:sz w:val="24"/>
          <w:szCs w:val="24"/>
        </w:rPr>
      </w:pPr>
    </w:p>
    <w:p w:rsidR="001714A3" w:rsidRDefault="001714A3" w:rsidP="00685966">
      <w:pPr>
        <w:spacing w:before="240" w:after="240" w:line="360" w:lineRule="auto"/>
        <w:contextualSpacing/>
        <w:jc w:val="both"/>
        <w:rPr>
          <w:rFonts w:ascii="Palatino Linotype" w:hAnsi="Palatino Linotype"/>
          <w:sz w:val="24"/>
          <w:szCs w:val="24"/>
        </w:rPr>
      </w:pPr>
      <w:r w:rsidRPr="001714A3">
        <w:rPr>
          <w:rFonts w:ascii="Palatino Linotype" w:hAnsi="Palatino Linotype"/>
          <w:sz w:val="24"/>
          <w:szCs w:val="24"/>
        </w:rPr>
        <w:t xml:space="preserve">De lo expuesto, se </w:t>
      </w:r>
      <w:r w:rsidR="00685966" w:rsidRPr="001714A3">
        <w:rPr>
          <w:rFonts w:ascii="Palatino Linotype" w:hAnsi="Palatino Linotype"/>
          <w:sz w:val="24"/>
          <w:szCs w:val="24"/>
        </w:rPr>
        <w:t>concluye</w:t>
      </w:r>
      <w:r w:rsidRPr="001714A3">
        <w:rPr>
          <w:rFonts w:ascii="Palatino Linotype" w:hAnsi="Palatino Linotype"/>
          <w:sz w:val="24"/>
          <w:szCs w:val="24"/>
        </w:rPr>
        <w:t xml:space="preserve"> que un Certificado de No Antecedentes Penales constituye un documento que de ser entregado aún en versión pública, como se ordenó en el</w:t>
      </w:r>
      <w:r w:rsidR="00685966">
        <w:rPr>
          <w:rFonts w:ascii="Palatino Linotype" w:hAnsi="Palatino Linotype"/>
          <w:sz w:val="24"/>
          <w:szCs w:val="24"/>
        </w:rPr>
        <w:t xml:space="preserve"> inciso “d</w:t>
      </w:r>
      <w:r w:rsidR="00F97266">
        <w:rPr>
          <w:rFonts w:ascii="Palatino Linotype" w:hAnsi="Palatino Linotype"/>
          <w:sz w:val="24"/>
          <w:szCs w:val="24"/>
        </w:rPr>
        <w:t>” del</w:t>
      </w:r>
      <w:r w:rsidRPr="001714A3">
        <w:rPr>
          <w:rFonts w:ascii="Palatino Linotype" w:hAnsi="Palatino Linotype"/>
          <w:sz w:val="24"/>
          <w:szCs w:val="24"/>
        </w:rPr>
        <w:t xml:space="preserve"> segundo punto resolutivo de la resolución materia del presente voto, el contenido estaría testado en su mayoría, dejándose observar únicamente lo correspondiente al formato principal o básico del documento, lo cual aludiría a un formato cuya información resulta irrelevante, esto en razón de qu</w:t>
      </w:r>
      <w:r w:rsidR="00685966">
        <w:rPr>
          <w:rFonts w:ascii="Palatino Linotype" w:hAnsi="Palatino Linotype"/>
          <w:sz w:val="24"/>
          <w:szCs w:val="24"/>
        </w:rPr>
        <w:t>e los datos que fuesen testados</w:t>
      </w:r>
      <w:r w:rsidRPr="001714A3">
        <w:rPr>
          <w:rFonts w:ascii="Palatino Linotype" w:hAnsi="Palatino Linotype"/>
          <w:sz w:val="24"/>
          <w:szCs w:val="24"/>
        </w:rPr>
        <w:t xml:space="preserve"> constituyen información referente a la esfera privada de su titular, ya que se trata de características físicas que permiten la identificación de un individuo, así como lo referente a su conducta delictiva, que en caso de ser revelada podría otorgar acceso a terceros y posteriormente se podría derivar un mal uso de información, aunado a que de ella no se desprende el ejercicio de las atribuciones que </w:t>
      </w:r>
      <w:r w:rsidRPr="001714A3">
        <w:rPr>
          <w:rFonts w:ascii="Palatino Linotype" w:hAnsi="Palatino Linotype"/>
          <w:sz w:val="24"/>
          <w:szCs w:val="24"/>
        </w:rPr>
        <w:lastRenderedPageBreak/>
        <w:t>en todo caso desempeñe el titular como servidor público o bien, la aplicación de recursos públicos. Situación por lo que debe considerarse información confidencial en términos de los artículos 143, fracción I de la Ley de Transparencia del Estado de México y Municipios y 4, fracciones VII y VIII de la Ley de Protección de Datos Personales del Estado de México.</w:t>
      </w:r>
      <w:bookmarkStart w:id="0" w:name="_GoBack"/>
      <w:bookmarkEnd w:id="0"/>
    </w:p>
    <w:p w:rsidR="00727010" w:rsidRDefault="00727010" w:rsidP="00685966">
      <w:pPr>
        <w:spacing w:before="240" w:after="240" w:line="360" w:lineRule="auto"/>
        <w:contextualSpacing/>
        <w:jc w:val="both"/>
        <w:rPr>
          <w:rFonts w:ascii="Palatino Linotype" w:hAnsi="Palatino Linotype"/>
          <w:sz w:val="24"/>
          <w:szCs w:val="24"/>
        </w:rPr>
      </w:pPr>
    </w:p>
    <w:p w:rsidR="00727010" w:rsidRDefault="00727010" w:rsidP="00685966">
      <w:pPr>
        <w:spacing w:before="240" w:after="240" w:line="360" w:lineRule="auto"/>
        <w:contextualSpacing/>
        <w:jc w:val="both"/>
        <w:rPr>
          <w:rFonts w:ascii="Palatino Linotype" w:hAnsi="Palatino Linotype"/>
          <w:sz w:val="24"/>
          <w:szCs w:val="24"/>
        </w:rPr>
      </w:pPr>
    </w:p>
    <w:p w:rsidR="00727010" w:rsidRPr="001714A3" w:rsidRDefault="00727010" w:rsidP="00685966">
      <w:pPr>
        <w:spacing w:before="240" w:after="240" w:line="360" w:lineRule="auto"/>
        <w:contextualSpacing/>
        <w:jc w:val="both"/>
        <w:rPr>
          <w:rFonts w:ascii="Palatino Linotype" w:hAnsi="Palatino Linotype"/>
          <w:sz w:val="24"/>
          <w:szCs w:val="24"/>
        </w:rPr>
      </w:pPr>
    </w:p>
    <w:p w:rsidR="001714A3" w:rsidRPr="00F97266" w:rsidRDefault="001714A3" w:rsidP="00F97266">
      <w:pPr>
        <w:spacing w:after="0" w:line="240" w:lineRule="auto"/>
        <w:jc w:val="center"/>
        <w:rPr>
          <w:rFonts w:ascii="Palatino Linotype" w:hAnsi="Palatino Linotype"/>
          <w:b/>
          <w:sz w:val="24"/>
          <w:szCs w:val="24"/>
        </w:rPr>
      </w:pPr>
      <w:r w:rsidRPr="00F97266">
        <w:rPr>
          <w:rFonts w:ascii="Palatino Linotype" w:hAnsi="Palatino Linotype"/>
          <w:b/>
          <w:sz w:val="24"/>
          <w:szCs w:val="24"/>
        </w:rPr>
        <w:t>Javier Martínez Cruz</w:t>
      </w:r>
    </w:p>
    <w:p w:rsidR="001714A3" w:rsidRDefault="001714A3" w:rsidP="00F97266">
      <w:pPr>
        <w:spacing w:after="0" w:line="240" w:lineRule="auto"/>
        <w:jc w:val="center"/>
        <w:rPr>
          <w:rFonts w:ascii="Palatino Linotype" w:hAnsi="Palatino Linotype"/>
          <w:sz w:val="24"/>
          <w:szCs w:val="24"/>
        </w:rPr>
      </w:pPr>
      <w:r w:rsidRPr="001714A3">
        <w:rPr>
          <w:rFonts w:ascii="Palatino Linotype" w:hAnsi="Palatino Linotype"/>
          <w:sz w:val="24"/>
          <w:szCs w:val="24"/>
        </w:rPr>
        <w:t>Comisionado</w:t>
      </w:r>
    </w:p>
    <w:p w:rsidR="00EF307D" w:rsidRDefault="009E26C4" w:rsidP="00F97266">
      <w:pPr>
        <w:spacing w:after="0" w:line="240" w:lineRule="auto"/>
        <w:jc w:val="center"/>
        <w:rPr>
          <w:rFonts w:ascii="Palatino Linotype" w:hAnsi="Palatino Linotype"/>
          <w:sz w:val="24"/>
          <w:szCs w:val="24"/>
        </w:rPr>
      </w:pPr>
      <w:r>
        <w:rPr>
          <w:rFonts w:ascii="Palatino Linotype" w:hAnsi="Palatino Linotype"/>
          <w:sz w:val="24"/>
          <w:szCs w:val="24"/>
        </w:rPr>
        <w:t>(Rúbrica)</w:t>
      </w:r>
    </w:p>
    <w:p w:rsidR="000607BA" w:rsidRPr="00DE7A21" w:rsidRDefault="00685966" w:rsidP="001714A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 </w:t>
      </w:r>
    </w:p>
    <w:sectPr w:rsidR="000607BA" w:rsidRPr="00DE7A21"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81" w:rsidRDefault="00156781" w:rsidP="00907451">
      <w:pPr>
        <w:spacing w:after="0" w:line="240" w:lineRule="auto"/>
      </w:pPr>
      <w:r>
        <w:separator/>
      </w:r>
    </w:p>
  </w:endnote>
  <w:endnote w:type="continuationSeparator" w:id="0">
    <w:p w:rsidR="00156781" w:rsidRDefault="00156781"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E26C4">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E26C4">
      <w:rPr>
        <w:rFonts w:ascii="Arial" w:hAnsi="Arial" w:cs="Arial"/>
        <w:b/>
        <w:bCs/>
        <w:noProof/>
        <w:sz w:val="20"/>
        <w:szCs w:val="20"/>
      </w:rPr>
      <w:t>11</w:t>
    </w:r>
    <w:r w:rsidRPr="00986599">
      <w:rPr>
        <w:rFonts w:ascii="Arial" w:hAnsi="Arial" w:cs="Arial"/>
        <w:b/>
        <w:bCs/>
        <w:sz w:val="20"/>
        <w:szCs w:val="20"/>
      </w:rPr>
      <w:fldChar w:fldCharType="end"/>
    </w:r>
  </w:p>
  <w:p w:rsidR="00D758BE" w:rsidRDefault="00156781"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81" w:rsidRDefault="00156781" w:rsidP="00907451">
      <w:pPr>
        <w:spacing w:after="0" w:line="240" w:lineRule="auto"/>
      </w:pPr>
      <w:r>
        <w:separator/>
      </w:r>
    </w:p>
  </w:footnote>
  <w:footnote w:type="continuationSeparator" w:id="0">
    <w:p w:rsidR="00156781" w:rsidRDefault="00156781" w:rsidP="00907451">
      <w:pPr>
        <w:spacing w:after="0" w:line="240" w:lineRule="auto"/>
      </w:pPr>
      <w:r>
        <w:continuationSeparator/>
      </w:r>
    </w:p>
  </w:footnote>
  <w:footnote w:id="1">
    <w:p w:rsidR="00851C53" w:rsidRPr="00DE7A21" w:rsidRDefault="00851C53" w:rsidP="00851C53">
      <w:pPr>
        <w:pStyle w:val="Textonotapie"/>
        <w:jc w:val="both"/>
        <w:rPr>
          <w:sz w:val="12"/>
          <w:szCs w:val="12"/>
        </w:rPr>
      </w:pPr>
      <w:r>
        <w:rPr>
          <w:rStyle w:val="Refdenotaalpie"/>
        </w:rPr>
        <w:footnoteRef/>
      </w:r>
      <w:r w:rsidRPr="00DE7A21">
        <w:rPr>
          <w:sz w:val="12"/>
        </w:rPr>
        <w:t xml:space="preserve"> </w:t>
      </w:r>
      <w:r w:rsidRPr="00DE7A21">
        <w:rPr>
          <w:b/>
          <w:sz w:val="12"/>
          <w:szCs w:val="12"/>
        </w:rPr>
        <w:t>Fotografía de servidores públicos es un dato personal confidencial.</w:t>
      </w:r>
      <w:r w:rsidRPr="00DE7A21">
        <w:rPr>
          <w:sz w:val="12"/>
          <w:szCs w:val="12"/>
        </w:rPr>
        <w:t xml:space="preserve"> 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156781" w:rsidP="007263BB">
    <w:pPr>
      <w:pStyle w:val="Encabezado"/>
      <w:jc w:val="right"/>
      <w:rPr>
        <w:rFonts w:ascii="Arial" w:hAnsi="Arial" w:cs="Arial"/>
        <w:sz w:val="20"/>
        <w:szCs w:val="20"/>
      </w:rPr>
    </w:pPr>
    <w:sdt>
      <w:sdtPr>
        <w:rPr>
          <w:rFonts w:ascii="Arial" w:hAnsi="Arial" w:cs="Arial"/>
          <w:sz w:val="20"/>
          <w:szCs w:val="20"/>
        </w:rPr>
        <w:id w:val="-94376468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39564" o:spid="_x0000_s2052" type="#_x0000_t136" style="position:absolute;left:0;text-align:left;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245DCD">
      <w:rPr>
        <w:noProof/>
        <w:lang w:val="es-MX" w:eastAsia="es-MX"/>
      </w:rPr>
      <w:drawing>
        <wp:anchor distT="0" distB="0" distL="114300" distR="114300" simplePos="0" relativeHeight="251657728" behindDoc="1" locked="0" layoutInCell="1" allowOverlap="1" wp14:anchorId="065874A4" wp14:editId="0A7F753F">
          <wp:simplePos x="0" y="0"/>
          <wp:positionH relativeFrom="page">
            <wp:align>left</wp:align>
          </wp:positionH>
          <wp:positionV relativeFrom="paragraph">
            <wp:posOffset>-449907</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156781" w:rsidP="007263BB">
    <w:pPr>
      <w:pStyle w:val="Encabezado"/>
      <w:jc w:val="right"/>
      <w:rPr>
        <w:rFonts w:ascii="Arial" w:hAnsi="Arial" w:cs="Arial"/>
        <w:sz w:val="20"/>
        <w:szCs w:val="20"/>
      </w:rPr>
    </w:pPr>
  </w:p>
  <w:p w:rsidR="00D758BE" w:rsidRDefault="00156781"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C33457" w:rsidRDefault="00C33457" w:rsidP="00EE5FB0">
    <w:pPr>
      <w:pStyle w:val="Encabezado"/>
      <w:jc w:val="right"/>
      <w:rPr>
        <w:rFonts w:ascii="Palatino Linotype" w:hAnsi="Palatino Linotype" w:cs="Arial"/>
        <w:b/>
        <w:sz w:val="20"/>
        <w:szCs w:val="20"/>
      </w:rPr>
    </w:pPr>
    <w:r>
      <w:rPr>
        <w:rFonts w:ascii="Palatino Linotype" w:hAnsi="Palatino Linotype" w:cs="Arial"/>
        <w:b/>
        <w:sz w:val="20"/>
        <w:szCs w:val="20"/>
      </w:rPr>
      <w:t xml:space="preserve">    </w:t>
    </w:r>
    <w:r w:rsidR="00057319" w:rsidRPr="00563D0F">
      <w:rPr>
        <w:rFonts w:ascii="Palatino Linotype" w:hAnsi="Palatino Linotype" w:cs="Arial"/>
        <w:b/>
        <w:sz w:val="20"/>
        <w:szCs w:val="20"/>
      </w:rPr>
      <w:t xml:space="preserve">RECURSO DE </w:t>
    </w:r>
    <w:r w:rsidR="00057319" w:rsidRPr="006B0547">
      <w:rPr>
        <w:rFonts w:ascii="Palatino Linotype" w:hAnsi="Palatino Linotype" w:cs="Arial"/>
        <w:b/>
        <w:sz w:val="20"/>
        <w:szCs w:val="20"/>
      </w:rPr>
      <w:t>REVISIÓN</w:t>
    </w:r>
    <w:r>
      <w:rPr>
        <w:rFonts w:ascii="Palatino Linotype" w:hAnsi="Palatino Linotype" w:cs="Arial"/>
        <w:b/>
        <w:sz w:val="20"/>
        <w:szCs w:val="20"/>
      </w:rPr>
      <w:t>:</w:t>
    </w:r>
    <w:r w:rsidR="00057319" w:rsidRPr="006B0547">
      <w:rPr>
        <w:rFonts w:ascii="Palatino Linotype" w:hAnsi="Palatino Linotype" w:cs="Arial"/>
        <w:b/>
        <w:sz w:val="20"/>
        <w:szCs w:val="20"/>
      </w:rPr>
      <w:t xml:space="preserve"> </w:t>
    </w:r>
    <w:r w:rsidR="004E3A75">
      <w:rPr>
        <w:rFonts w:ascii="Palatino Linotype" w:hAnsi="Palatino Linotype" w:cs="Arial"/>
        <w:b/>
        <w:sz w:val="20"/>
        <w:szCs w:val="20"/>
      </w:rPr>
      <w:t>03920</w:t>
    </w:r>
    <w:r w:rsidR="00897E24" w:rsidRPr="00897E24">
      <w:rPr>
        <w:rFonts w:ascii="Palatino Linotype" w:hAnsi="Palatino Linotype" w:cs="Arial"/>
        <w:b/>
        <w:sz w:val="20"/>
        <w:szCs w:val="20"/>
      </w:rPr>
      <w:t>/INFOEM/IP/RR/201</w:t>
    </w:r>
    <w:r w:rsidR="00B438A9">
      <w:rPr>
        <w:rFonts w:ascii="Palatino Linotype" w:hAnsi="Palatino Linotype" w:cs="Arial"/>
        <w:b/>
        <w:sz w:val="20"/>
        <w:szCs w:val="20"/>
      </w:rPr>
      <w:t>7</w:t>
    </w:r>
    <w:r>
      <w:rPr>
        <w:rFonts w:ascii="Palatino Linotype" w:hAnsi="Palatino Linotype" w:cs="Arial"/>
        <w:b/>
        <w:sz w:val="20"/>
        <w:szCs w:val="20"/>
      </w:rPr>
      <w:t xml:space="preserve"> y</w:t>
    </w:r>
  </w:p>
  <w:p w:rsidR="00EE5FB0" w:rsidRPr="00563D0F" w:rsidRDefault="00C33457" w:rsidP="00C33457">
    <w:pPr>
      <w:pStyle w:val="Encabezado"/>
      <w:rPr>
        <w:rFonts w:ascii="Palatino Linotype" w:hAnsi="Palatino Linotype" w:cs="Arial"/>
        <w:b/>
        <w:sz w:val="20"/>
        <w:szCs w:val="20"/>
      </w:rPr>
    </w:pPr>
    <w:r>
      <w:rPr>
        <w:rFonts w:ascii="Palatino Linotype" w:hAnsi="Palatino Linotype" w:cs="Arial"/>
        <w:b/>
        <w:sz w:val="20"/>
        <w:szCs w:val="20"/>
      </w:rPr>
      <w:t xml:space="preserve">             </w:t>
    </w:r>
    <w:r w:rsidR="004E3A75">
      <w:rPr>
        <w:rFonts w:ascii="Palatino Linotype" w:hAnsi="Palatino Linotype" w:cs="Arial"/>
        <w:b/>
        <w:sz w:val="20"/>
        <w:szCs w:val="20"/>
      </w:rPr>
      <w:t xml:space="preserve">               </w:t>
    </w:r>
    <w:r>
      <w:rPr>
        <w:rFonts w:ascii="Palatino Linotype" w:hAnsi="Palatino Linotype" w:cs="Arial"/>
        <w:b/>
        <w:sz w:val="20"/>
        <w:szCs w:val="20"/>
      </w:rPr>
      <w:t xml:space="preserve">                                                                                                                              </w:t>
    </w:r>
    <w:r w:rsidR="004E3A75">
      <w:rPr>
        <w:rFonts w:ascii="Palatino Linotype" w:hAnsi="Palatino Linotype" w:cs="Arial"/>
        <w:b/>
        <w:sz w:val="20"/>
        <w:szCs w:val="20"/>
      </w:rPr>
      <w:t>Acumulados</w:t>
    </w:r>
    <w:r>
      <w:rPr>
        <w:rFonts w:ascii="Palatino Linotype" w:hAnsi="Palatino Linotype" w:cs="Arial"/>
        <w:b/>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D0F"/>
    <w:multiLevelType w:val="hybridMultilevel"/>
    <w:tmpl w:val="1DD48EDE"/>
    <w:lvl w:ilvl="0" w:tplc="53F2FF9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442336"/>
    <w:multiLevelType w:val="hybridMultilevel"/>
    <w:tmpl w:val="09F2E3CC"/>
    <w:lvl w:ilvl="0" w:tplc="080A0005">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135712"/>
    <w:multiLevelType w:val="hybridMultilevel"/>
    <w:tmpl w:val="48F0B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E01C4"/>
    <w:multiLevelType w:val="hybridMultilevel"/>
    <w:tmpl w:val="70805CA2"/>
    <w:lvl w:ilvl="0" w:tplc="162CE8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C3E37EA"/>
    <w:multiLevelType w:val="hybridMultilevel"/>
    <w:tmpl w:val="814CA7D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8C5DAB"/>
    <w:multiLevelType w:val="hybridMultilevel"/>
    <w:tmpl w:val="F9BE78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1641580"/>
    <w:multiLevelType w:val="hybridMultilevel"/>
    <w:tmpl w:val="0E52E3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30F0EB7"/>
    <w:multiLevelType w:val="hybridMultilevel"/>
    <w:tmpl w:val="6B484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935568"/>
    <w:multiLevelType w:val="hybridMultilevel"/>
    <w:tmpl w:val="95B6F2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A947CF"/>
    <w:multiLevelType w:val="hybridMultilevel"/>
    <w:tmpl w:val="084CA294"/>
    <w:lvl w:ilvl="0" w:tplc="1BA009A8">
      <w:numFmt w:val="bullet"/>
      <w:lvlText w:val="·"/>
      <w:lvlJc w:val="left"/>
      <w:pPr>
        <w:ind w:left="1428" w:hanging="360"/>
      </w:pPr>
      <w:rPr>
        <w:rFonts w:ascii="Palatino Linotype" w:eastAsia="Times New Roman" w:hAnsi="Palatino Linotype"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73D50195"/>
    <w:multiLevelType w:val="hybridMultilevel"/>
    <w:tmpl w:val="2CB45D98"/>
    <w:lvl w:ilvl="0" w:tplc="080A0005">
      <w:start w:val="1"/>
      <w:numFmt w:val="bullet"/>
      <w:lvlText w:val=""/>
      <w:lvlJc w:val="left"/>
      <w:pPr>
        <w:ind w:left="720" w:hanging="360"/>
      </w:pPr>
      <w:rPr>
        <w:rFonts w:ascii="Wingdings" w:hAnsi="Wingdings" w:hint="default"/>
      </w:rPr>
    </w:lvl>
    <w:lvl w:ilvl="1" w:tplc="1BA009A8">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E86B48"/>
    <w:multiLevelType w:val="hybridMultilevel"/>
    <w:tmpl w:val="042E931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6"/>
  </w:num>
  <w:num w:numId="2">
    <w:abstractNumId w:val="11"/>
  </w:num>
  <w:num w:numId="3">
    <w:abstractNumId w:val="0"/>
  </w:num>
  <w:num w:numId="4">
    <w:abstractNumId w:val="14"/>
  </w:num>
  <w:num w:numId="5">
    <w:abstractNumId w:val="12"/>
  </w:num>
  <w:num w:numId="6">
    <w:abstractNumId w:val="1"/>
  </w:num>
  <w:num w:numId="7">
    <w:abstractNumId w:val="8"/>
  </w:num>
  <w:num w:numId="8">
    <w:abstractNumId w:val="3"/>
  </w:num>
  <w:num w:numId="9">
    <w:abstractNumId w:val="10"/>
  </w:num>
  <w:num w:numId="10">
    <w:abstractNumId w:val="2"/>
  </w:num>
  <w:num w:numId="11">
    <w:abstractNumId w:val="5"/>
  </w:num>
  <w:num w:numId="12">
    <w:abstractNumId w:val="7"/>
  </w:num>
  <w:num w:numId="13">
    <w:abstractNumId w:val="13"/>
  </w:num>
  <w:num w:numId="14">
    <w:abstractNumId w:val="4"/>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964"/>
    <w:rsid w:val="00001CB1"/>
    <w:rsid w:val="000248FB"/>
    <w:rsid w:val="0003107A"/>
    <w:rsid w:val="0003343B"/>
    <w:rsid w:val="00057319"/>
    <w:rsid w:val="000607BA"/>
    <w:rsid w:val="000906EA"/>
    <w:rsid w:val="000A4618"/>
    <w:rsid w:val="000B44A7"/>
    <w:rsid w:val="000C74C1"/>
    <w:rsid w:val="000C7E12"/>
    <w:rsid w:val="00155046"/>
    <w:rsid w:val="00156565"/>
    <w:rsid w:val="00156781"/>
    <w:rsid w:val="00163914"/>
    <w:rsid w:val="0016412C"/>
    <w:rsid w:val="001714A3"/>
    <w:rsid w:val="001822F4"/>
    <w:rsid w:val="001878F3"/>
    <w:rsid w:val="001A79D0"/>
    <w:rsid w:val="001C55E5"/>
    <w:rsid w:val="001D6690"/>
    <w:rsid w:val="001E420C"/>
    <w:rsid w:val="001F2673"/>
    <w:rsid w:val="001F6B13"/>
    <w:rsid w:val="002179D5"/>
    <w:rsid w:val="00224C8E"/>
    <w:rsid w:val="0023194F"/>
    <w:rsid w:val="00245DCD"/>
    <w:rsid w:val="00246920"/>
    <w:rsid w:val="002501C9"/>
    <w:rsid w:val="002634B7"/>
    <w:rsid w:val="00265A6C"/>
    <w:rsid w:val="00280FB1"/>
    <w:rsid w:val="00292D40"/>
    <w:rsid w:val="00293BB5"/>
    <w:rsid w:val="002A5ADD"/>
    <w:rsid w:val="002A6359"/>
    <w:rsid w:val="002C1384"/>
    <w:rsid w:val="002F6CCA"/>
    <w:rsid w:val="00307361"/>
    <w:rsid w:val="00311D54"/>
    <w:rsid w:val="00325DE6"/>
    <w:rsid w:val="00335B29"/>
    <w:rsid w:val="0035130D"/>
    <w:rsid w:val="0035237C"/>
    <w:rsid w:val="00365320"/>
    <w:rsid w:val="00374D2E"/>
    <w:rsid w:val="00394F30"/>
    <w:rsid w:val="003A1596"/>
    <w:rsid w:val="003A425E"/>
    <w:rsid w:val="003D2E6F"/>
    <w:rsid w:val="003D7DFD"/>
    <w:rsid w:val="003E5BF7"/>
    <w:rsid w:val="003E6DC4"/>
    <w:rsid w:val="003F066F"/>
    <w:rsid w:val="003F7890"/>
    <w:rsid w:val="00400E07"/>
    <w:rsid w:val="004430F0"/>
    <w:rsid w:val="0044634E"/>
    <w:rsid w:val="00451E96"/>
    <w:rsid w:val="00453622"/>
    <w:rsid w:val="00456467"/>
    <w:rsid w:val="00475CF8"/>
    <w:rsid w:val="004E3A75"/>
    <w:rsid w:val="004F491E"/>
    <w:rsid w:val="00505F5A"/>
    <w:rsid w:val="00510049"/>
    <w:rsid w:val="005220CF"/>
    <w:rsid w:val="00536284"/>
    <w:rsid w:val="005375F9"/>
    <w:rsid w:val="0054091C"/>
    <w:rsid w:val="005549ED"/>
    <w:rsid w:val="00564B1C"/>
    <w:rsid w:val="005677B5"/>
    <w:rsid w:val="005725FE"/>
    <w:rsid w:val="005777C1"/>
    <w:rsid w:val="005B169F"/>
    <w:rsid w:val="005D08F4"/>
    <w:rsid w:val="005D412A"/>
    <w:rsid w:val="005D6207"/>
    <w:rsid w:val="005E77FA"/>
    <w:rsid w:val="005F4C0C"/>
    <w:rsid w:val="00602FA0"/>
    <w:rsid w:val="00603DF9"/>
    <w:rsid w:val="00612D0D"/>
    <w:rsid w:val="00614D14"/>
    <w:rsid w:val="006214D7"/>
    <w:rsid w:val="00633F64"/>
    <w:rsid w:val="00685966"/>
    <w:rsid w:val="006B598B"/>
    <w:rsid w:val="006C34A1"/>
    <w:rsid w:val="006C470E"/>
    <w:rsid w:val="006E048C"/>
    <w:rsid w:val="006E3EC4"/>
    <w:rsid w:val="006F1D5F"/>
    <w:rsid w:val="006F1F79"/>
    <w:rsid w:val="006F346D"/>
    <w:rsid w:val="006F79E5"/>
    <w:rsid w:val="00721EE2"/>
    <w:rsid w:val="00727010"/>
    <w:rsid w:val="0074097B"/>
    <w:rsid w:val="0076036A"/>
    <w:rsid w:val="00773997"/>
    <w:rsid w:val="007941AA"/>
    <w:rsid w:val="007A42B3"/>
    <w:rsid w:val="007B0AC3"/>
    <w:rsid w:val="007B6EE5"/>
    <w:rsid w:val="007D16D4"/>
    <w:rsid w:val="007E75F7"/>
    <w:rsid w:val="007F5174"/>
    <w:rsid w:val="008078E7"/>
    <w:rsid w:val="00826C5D"/>
    <w:rsid w:val="00832023"/>
    <w:rsid w:val="008503F5"/>
    <w:rsid w:val="00851C53"/>
    <w:rsid w:val="008624F5"/>
    <w:rsid w:val="00870CDA"/>
    <w:rsid w:val="00872B6F"/>
    <w:rsid w:val="00877519"/>
    <w:rsid w:val="00886E1B"/>
    <w:rsid w:val="00887D4E"/>
    <w:rsid w:val="00892DF4"/>
    <w:rsid w:val="00897E24"/>
    <w:rsid w:val="008A4206"/>
    <w:rsid w:val="008A61E6"/>
    <w:rsid w:val="008E7B8D"/>
    <w:rsid w:val="00907451"/>
    <w:rsid w:val="009107C3"/>
    <w:rsid w:val="009175A1"/>
    <w:rsid w:val="00936FC7"/>
    <w:rsid w:val="00956FEF"/>
    <w:rsid w:val="009611D3"/>
    <w:rsid w:val="00961991"/>
    <w:rsid w:val="0096627E"/>
    <w:rsid w:val="009820BB"/>
    <w:rsid w:val="009A4E4E"/>
    <w:rsid w:val="009C140C"/>
    <w:rsid w:val="009E26C4"/>
    <w:rsid w:val="009F7F20"/>
    <w:rsid w:val="00A01E1E"/>
    <w:rsid w:val="00A030E7"/>
    <w:rsid w:val="00A21005"/>
    <w:rsid w:val="00A275F3"/>
    <w:rsid w:val="00A43EC4"/>
    <w:rsid w:val="00A6063F"/>
    <w:rsid w:val="00A62E74"/>
    <w:rsid w:val="00A7185E"/>
    <w:rsid w:val="00A930C2"/>
    <w:rsid w:val="00AA1706"/>
    <w:rsid w:val="00AA6F6A"/>
    <w:rsid w:val="00AB2EB4"/>
    <w:rsid w:val="00AC511A"/>
    <w:rsid w:val="00AD073A"/>
    <w:rsid w:val="00AD5A2C"/>
    <w:rsid w:val="00AF2DAB"/>
    <w:rsid w:val="00B02DEB"/>
    <w:rsid w:val="00B15E90"/>
    <w:rsid w:val="00B300D4"/>
    <w:rsid w:val="00B33D79"/>
    <w:rsid w:val="00B438A9"/>
    <w:rsid w:val="00B547F4"/>
    <w:rsid w:val="00B60F3A"/>
    <w:rsid w:val="00B64C32"/>
    <w:rsid w:val="00B84B27"/>
    <w:rsid w:val="00B9035F"/>
    <w:rsid w:val="00B95ED4"/>
    <w:rsid w:val="00BA462E"/>
    <w:rsid w:val="00BD15B7"/>
    <w:rsid w:val="00BD43C9"/>
    <w:rsid w:val="00BD5CB9"/>
    <w:rsid w:val="00BF6238"/>
    <w:rsid w:val="00C33457"/>
    <w:rsid w:val="00C44E15"/>
    <w:rsid w:val="00C5160E"/>
    <w:rsid w:val="00C517F0"/>
    <w:rsid w:val="00C90753"/>
    <w:rsid w:val="00C9164A"/>
    <w:rsid w:val="00C94C04"/>
    <w:rsid w:val="00CB04F4"/>
    <w:rsid w:val="00CB7479"/>
    <w:rsid w:val="00CC0564"/>
    <w:rsid w:val="00CD3541"/>
    <w:rsid w:val="00CD3DE8"/>
    <w:rsid w:val="00CF439A"/>
    <w:rsid w:val="00D02432"/>
    <w:rsid w:val="00D20217"/>
    <w:rsid w:val="00D3032D"/>
    <w:rsid w:val="00D32E4F"/>
    <w:rsid w:val="00D34718"/>
    <w:rsid w:val="00D53061"/>
    <w:rsid w:val="00D55452"/>
    <w:rsid w:val="00D665CE"/>
    <w:rsid w:val="00D673A8"/>
    <w:rsid w:val="00DA32D9"/>
    <w:rsid w:val="00DA5B01"/>
    <w:rsid w:val="00DC752B"/>
    <w:rsid w:val="00DE4B13"/>
    <w:rsid w:val="00DE7A21"/>
    <w:rsid w:val="00DF3CD1"/>
    <w:rsid w:val="00E03023"/>
    <w:rsid w:val="00E20299"/>
    <w:rsid w:val="00E21083"/>
    <w:rsid w:val="00E226B0"/>
    <w:rsid w:val="00E2417A"/>
    <w:rsid w:val="00E30FFD"/>
    <w:rsid w:val="00E31907"/>
    <w:rsid w:val="00E33912"/>
    <w:rsid w:val="00E40978"/>
    <w:rsid w:val="00E436D1"/>
    <w:rsid w:val="00E52808"/>
    <w:rsid w:val="00E731C6"/>
    <w:rsid w:val="00E87EBD"/>
    <w:rsid w:val="00E920D4"/>
    <w:rsid w:val="00EB5C57"/>
    <w:rsid w:val="00EB7F3E"/>
    <w:rsid w:val="00ED4243"/>
    <w:rsid w:val="00EF307D"/>
    <w:rsid w:val="00F24291"/>
    <w:rsid w:val="00F466F2"/>
    <w:rsid w:val="00F52490"/>
    <w:rsid w:val="00F76B05"/>
    <w:rsid w:val="00F84006"/>
    <w:rsid w:val="00F86E81"/>
    <w:rsid w:val="00F97266"/>
    <w:rsid w:val="00FC4B69"/>
    <w:rsid w:val="00FD0A21"/>
    <w:rsid w:val="00FD3336"/>
    <w:rsid w:val="00FE407F"/>
    <w:rsid w:val="00FE4802"/>
    <w:rsid w:val="00FF01C8"/>
    <w:rsid w:val="00FF5561"/>
    <w:rsid w:val="00FF6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5AD5A16-D7B7-4317-B907-D9CEEAE2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basedOn w:val="Normal"/>
    <w:link w:val="TextonotapieCar"/>
    <w:uiPriority w:val="99"/>
    <w:semiHidden/>
    <w:unhideWhenUsed/>
    <w:rsid w:val="006B59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598B"/>
    <w:rPr>
      <w:sz w:val="20"/>
      <w:szCs w:val="20"/>
    </w:rPr>
  </w:style>
  <w:style w:type="character" w:styleId="Refdenotaalpie">
    <w:name w:val="footnote reference"/>
    <w:basedOn w:val="Fuentedeprrafopredeter"/>
    <w:uiPriority w:val="99"/>
    <w:semiHidden/>
    <w:unhideWhenUsed/>
    <w:rsid w:val="006B5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1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734AF01-5571-4A02-A45E-940612F3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11</Pages>
  <Words>2763</Words>
  <Characters>15198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2018-12-17T20:35:00Z</cp:lastPrinted>
  <dcterms:created xsi:type="dcterms:W3CDTF">2018-12-14T21:03:00Z</dcterms:created>
  <dcterms:modified xsi:type="dcterms:W3CDTF">2018-12-17T22:09:00Z</dcterms:modified>
</cp:coreProperties>
</file>